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ascii="仿宋" w:hAnsi="仿宋" w:eastAsia="仿宋"/>
          <w:sz w:val="32"/>
          <w:szCs w:val="32"/>
        </w:rPr>
      </w:pPr>
    </w:p>
    <w:p>
      <w:pPr>
        <w:jc w:val="center"/>
        <w:rPr>
          <w:rFonts w:ascii="宋体" w:hAnsi="宋体" w:eastAsia="宋体"/>
          <w:sz w:val="44"/>
          <w:szCs w:val="44"/>
        </w:rPr>
      </w:pPr>
      <w:r>
        <w:rPr>
          <w:rFonts w:hint="eastAsia" w:ascii="宋体" w:hAnsi="宋体" w:eastAsia="宋体"/>
          <w:sz w:val="44"/>
          <w:szCs w:val="44"/>
        </w:rPr>
        <w:t>龙港市海域使用权挂牌出让须知</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根据《中华人民共和国海域使用管理法》《中华人民共和国土地管理法》《中华人民共和国城市房地产管理法》《浙江省海域使用管理条例》《浙江省招标拍卖挂牌出让海域使用权管理暂行办法》等有关规定，经浙江省人民政府批准和龙港市人民政府同意，龙港市自然资源与规划建设局决定挂牌出让龙港市新城XC-LH-a13</w:t>
      </w:r>
      <w:r>
        <w:rPr>
          <w:rFonts w:ascii="仿宋" w:hAnsi="仿宋" w:eastAsia="仿宋"/>
          <w:sz w:val="32"/>
          <w:szCs w:val="32"/>
        </w:rPr>
        <w:t>区块的海域使用权。</w:t>
      </w:r>
    </w:p>
    <w:p>
      <w:pPr>
        <w:ind w:firstLine="640" w:firstLineChars="200"/>
        <w:rPr>
          <w:rFonts w:ascii="仿宋" w:hAnsi="仿宋" w:eastAsia="仿宋"/>
          <w:sz w:val="32"/>
          <w:szCs w:val="32"/>
        </w:rPr>
      </w:pPr>
      <w:r>
        <w:rPr>
          <w:rFonts w:hint="eastAsia" w:ascii="仿宋" w:hAnsi="仿宋" w:eastAsia="仿宋"/>
          <w:sz w:val="32"/>
          <w:szCs w:val="32"/>
        </w:rPr>
        <w:t>一、本次海域使用权挂牌出让的出让人为龙港市自然资源与规划建设局，具体委托龙港市政务服务中心承办。</w:t>
      </w:r>
    </w:p>
    <w:p>
      <w:pPr>
        <w:ind w:firstLine="640" w:firstLineChars="200"/>
        <w:rPr>
          <w:rFonts w:ascii="仿宋" w:hAnsi="仿宋" w:eastAsia="仿宋"/>
          <w:sz w:val="32"/>
          <w:szCs w:val="32"/>
        </w:rPr>
      </w:pPr>
      <w:r>
        <w:rPr>
          <w:rFonts w:hint="eastAsia" w:ascii="仿宋" w:hAnsi="仿宋" w:eastAsia="仿宋"/>
          <w:sz w:val="32"/>
          <w:szCs w:val="32"/>
        </w:rPr>
        <w:t>二、本次海域使用权挂牌出让遵循公开、公平、公正和诚实信用原则。</w:t>
      </w:r>
    </w:p>
    <w:p>
      <w:pPr>
        <w:ind w:firstLine="640" w:firstLineChars="200"/>
        <w:rPr>
          <w:rFonts w:ascii="仿宋" w:hAnsi="仿宋" w:eastAsia="仿宋"/>
          <w:sz w:val="32"/>
          <w:szCs w:val="32"/>
        </w:rPr>
      </w:pPr>
      <w:r>
        <w:rPr>
          <w:rFonts w:hint="eastAsia" w:ascii="仿宋" w:hAnsi="仿宋" w:eastAsia="仿宋"/>
          <w:sz w:val="32"/>
          <w:szCs w:val="32"/>
        </w:rPr>
        <w:t>三、出让海域的基本情况及规划指标要求：</w:t>
      </w:r>
      <w:r>
        <w:rPr>
          <w:rFonts w:ascii="仿宋" w:hAnsi="仿宋" w:eastAsia="仿宋"/>
          <w:sz w:val="32"/>
          <w:szCs w:val="32"/>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953"/>
        <w:gridCol w:w="803"/>
        <w:gridCol w:w="829"/>
        <w:gridCol w:w="857"/>
        <w:gridCol w:w="829"/>
        <w:gridCol w:w="216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95" w:type="dxa"/>
            <w:vMerge w:val="restart"/>
            <w:vAlign w:val="center"/>
          </w:tcPr>
          <w:p>
            <w:pPr>
              <w:spacing w:line="400" w:lineRule="atLeast"/>
              <w:jc w:val="center"/>
              <w:rPr>
                <w:rFonts w:ascii="仿宋_GB2312" w:hAnsi="Calibri" w:eastAsia="仿宋_GB2312" w:cs="Times New Roman"/>
                <w:b/>
                <w:szCs w:val="24"/>
              </w:rPr>
            </w:pPr>
            <w:r>
              <w:rPr>
                <w:rFonts w:hint="eastAsia" w:ascii="仿宋_GB2312" w:hAnsi="Calibri" w:eastAsia="仿宋_GB2312" w:cs="Times New Roman"/>
                <w:b/>
                <w:szCs w:val="24"/>
              </w:rPr>
              <w:t>出让用海面积（公顷）</w:t>
            </w:r>
          </w:p>
        </w:tc>
        <w:tc>
          <w:tcPr>
            <w:tcW w:w="953" w:type="dxa"/>
            <w:vMerge w:val="restart"/>
            <w:vAlign w:val="center"/>
          </w:tcPr>
          <w:p>
            <w:pPr>
              <w:spacing w:line="400" w:lineRule="atLeast"/>
              <w:ind w:left="-107" w:leftChars="-51" w:right="-105" w:rightChars="-50"/>
              <w:jc w:val="center"/>
              <w:rPr>
                <w:rFonts w:ascii="仿宋_GB2312" w:hAnsi="Calibri" w:eastAsia="仿宋_GB2312" w:cs="Times New Roman"/>
                <w:b/>
                <w:szCs w:val="24"/>
              </w:rPr>
            </w:pPr>
            <w:r>
              <w:rPr>
                <w:rFonts w:hint="eastAsia" w:ascii="仿宋_GB2312" w:hAnsi="Calibri" w:eastAsia="仿宋_GB2312" w:cs="Times New Roman"/>
                <w:b/>
                <w:szCs w:val="24"/>
              </w:rPr>
              <w:t>海域</w:t>
            </w:r>
          </w:p>
          <w:p>
            <w:pPr>
              <w:spacing w:line="400" w:lineRule="atLeast"/>
              <w:ind w:left="-107" w:leftChars="-51" w:right="-105" w:rightChars="-50"/>
              <w:jc w:val="center"/>
              <w:rPr>
                <w:rFonts w:ascii="仿宋_GB2312" w:hAnsi="Calibri" w:eastAsia="仿宋_GB2312" w:cs="Times New Roman"/>
                <w:b/>
                <w:szCs w:val="24"/>
              </w:rPr>
            </w:pPr>
            <w:r>
              <w:rPr>
                <w:rFonts w:hint="eastAsia" w:ascii="仿宋_GB2312" w:hAnsi="Calibri" w:eastAsia="仿宋_GB2312" w:cs="Times New Roman"/>
                <w:b/>
                <w:szCs w:val="24"/>
              </w:rPr>
              <w:t>用途</w:t>
            </w:r>
          </w:p>
        </w:tc>
        <w:tc>
          <w:tcPr>
            <w:tcW w:w="5485" w:type="dxa"/>
            <w:gridSpan w:val="5"/>
          </w:tcPr>
          <w:p>
            <w:pPr>
              <w:spacing w:line="400" w:lineRule="atLeast"/>
              <w:ind w:left="-107" w:leftChars="-51" w:right="-105" w:rightChars="-50"/>
              <w:jc w:val="center"/>
              <w:rPr>
                <w:rFonts w:ascii="仿宋_GB2312" w:hAnsi="Calibri" w:eastAsia="仿宋_GB2312" w:cs="Times New Roman"/>
                <w:b/>
                <w:szCs w:val="24"/>
              </w:rPr>
            </w:pPr>
            <w:r>
              <w:rPr>
                <w:rFonts w:hint="eastAsia" w:ascii="仿宋_GB2312" w:hAnsi="Calibri" w:eastAsia="仿宋_GB2312" w:cs="Times New Roman"/>
                <w:b/>
                <w:szCs w:val="24"/>
              </w:rPr>
              <w:t>规划指标要求</w:t>
            </w:r>
          </w:p>
        </w:tc>
        <w:tc>
          <w:tcPr>
            <w:tcW w:w="709" w:type="dxa"/>
            <w:vMerge w:val="restart"/>
            <w:vAlign w:val="center"/>
          </w:tcPr>
          <w:p>
            <w:pPr>
              <w:spacing w:line="400" w:lineRule="atLeast"/>
              <w:ind w:left="-107" w:leftChars="-51" w:right="-105" w:rightChars="-50"/>
              <w:jc w:val="center"/>
              <w:rPr>
                <w:rFonts w:hint="eastAsia" w:ascii="仿宋_GB2312" w:hAnsi="Calibri" w:eastAsia="仿宋_GB2312" w:cs="Times New Roman"/>
                <w:b/>
                <w:szCs w:val="24"/>
              </w:rPr>
            </w:pPr>
            <w:r>
              <w:rPr>
                <w:rFonts w:hint="eastAsia" w:ascii="仿宋_GB2312" w:hAnsi="Calibri" w:eastAsia="仿宋_GB2312" w:cs="Times New Roman"/>
                <w:b/>
                <w:szCs w:val="24"/>
              </w:rPr>
              <w:t>出让</w:t>
            </w:r>
          </w:p>
          <w:p>
            <w:pPr>
              <w:spacing w:line="400" w:lineRule="atLeast"/>
              <w:ind w:left="-107" w:leftChars="-51" w:right="-105" w:rightChars="-50"/>
              <w:jc w:val="center"/>
              <w:rPr>
                <w:rFonts w:hint="eastAsia" w:ascii="仿宋_GB2312" w:hAnsi="Calibri" w:eastAsia="仿宋_GB2312" w:cs="Times New Roman"/>
                <w:b/>
                <w:szCs w:val="24"/>
              </w:rPr>
            </w:pPr>
            <w:r>
              <w:rPr>
                <w:rFonts w:hint="eastAsia" w:ascii="仿宋_GB2312" w:hAnsi="Calibri" w:eastAsia="仿宋_GB2312" w:cs="Times New Roman"/>
                <w:b/>
                <w:szCs w:val="24"/>
              </w:rPr>
              <w:t>年限</w:t>
            </w:r>
          </w:p>
          <w:p>
            <w:pPr>
              <w:spacing w:line="400" w:lineRule="atLeast"/>
              <w:ind w:left="-107" w:leftChars="-51" w:right="-105" w:rightChars="-50"/>
              <w:jc w:val="center"/>
              <w:rPr>
                <w:rFonts w:ascii="仿宋_GB2312" w:hAnsi="Calibri" w:eastAsia="仿宋_GB2312" w:cs="Times New Roman"/>
                <w:b/>
                <w:szCs w:val="24"/>
              </w:rPr>
            </w:pPr>
            <w:r>
              <w:rPr>
                <w:rFonts w:hint="eastAsia" w:ascii="仿宋_GB2312" w:hAnsi="Calibri" w:eastAsia="仿宋_GB2312" w:cs="Times New Roman"/>
                <w:b/>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495" w:type="dxa"/>
            <w:vMerge w:val="continue"/>
            <w:vAlign w:val="center"/>
          </w:tcPr>
          <w:p>
            <w:pPr>
              <w:spacing w:line="400" w:lineRule="atLeast"/>
              <w:ind w:left="-107" w:leftChars="-51" w:right="-105" w:rightChars="-50"/>
              <w:jc w:val="center"/>
              <w:rPr>
                <w:rFonts w:ascii="仿宋_GB2312" w:hAnsi="Calibri" w:eastAsia="仿宋_GB2312" w:cs="Times New Roman"/>
                <w:szCs w:val="24"/>
              </w:rPr>
            </w:pPr>
          </w:p>
        </w:tc>
        <w:tc>
          <w:tcPr>
            <w:tcW w:w="953" w:type="dxa"/>
            <w:vMerge w:val="continue"/>
            <w:vAlign w:val="center"/>
          </w:tcPr>
          <w:p>
            <w:pPr>
              <w:spacing w:line="400" w:lineRule="atLeast"/>
              <w:ind w:left="-107" w:leftChars="-51" w:right="-105" w:rightChars="-50"/>
              <w:jc w:val="center"/>
              <w:rPr>
                <w:rFonts w:ascii="仿宋_GB2312" w:hAnsi="Calibri" w:eastAsia="仿宋_GB2312" w:cs="Times New Roman"/>
                <w:szCs w:val="24"/>
              </w:rPr>
            </w:pPr>
          </w:p>
        </w:tc>
        <w:tc>
          <w:tcPr>
            <w:tcW w:w="803" w:type="dxa"/>
            <w:vAlign w:val="center"/>
          </w:tcPr>
          <w:p>
            <w:pPr>
              <w:spacing w:line="400" w:lineRule="atLeast"/>
              <w:ind w:left="-107" w:leftChars="-51" w:right="-105" w:rightChars="-50"/>
              <w:jc w:val="center"/>
              <w:rPr>
                <w:rFonts w:ascii="仿宋_GB2312" w:hAnsi="Calibri" w:eastAsia="仿宋_GB2312" w:cs="Times New Roman"/>
                <w:b/>
                <w:szCs w:val="24"/>
              </w:rPr>
            </w:pPr>
            <w:r>
              <w:rPr>
                <w:rFonts w:hint="eastAsia" w:ascii="仿宋_GB2312" w:hAnsi="Calibri" w:eastAsia="仿宋_GB2312" w:cs="Times New Roman"/>
                <w:b/>
                <w:szCs w:val="24"/>
              </w:rPr>
              <w:t>容积率（</w:t>
            </w:r>
            <w:r>
              <w:rPr>
                <w:rFonts w:ascii="仿宋_GB2312" w:hAnsi="Calibri" w:eastAsia="仿宋_GB2312" w:cs="Times New Roman"/>
                <w:b/>
                <w:szCs w:val="24"/>
              </w:rPr>
              <w:t>FAR</w:t>
            </w:r>
            <w:r>
              <w:rPr>
                <w:rFonts w:hint="eastAsia" w:ascii="仿宋_GB2312" w:hAnsi="Calibri" w:eastAsia="仿宋_GB2312" w:cs="Times New Roman"/>
                <w:b/>
                <w:szCs w:val="24"/>
              </w:rPr>
              <w:t>）</w:t>
            </w:r>
          </w:p>
        </w:tc>
        <w:tc>
          <w:tcPr>
            <w:tcW w:w="829" w:type="dxa"/>
            <w:vAlign w:val="center"/>
          </w:tcPr>
          <w:p>
            <w:pPr>
              <w:spacing w:line="400" w:lineRule="atLeast"/>
              <w:ind w:left="-107" w:leftChars="-51" w:right="-105" w:rightChars="-50"/>
              <w:jc w:val="center"/>
              <w:rPr>
                <w:rFonts w:ascii="仿宋_GB2312" w:hAnsi="Calibri" w:eastAsia="仿宋_GB2312" w:cs="Times New Roman"/>
                <w:b/>
                <w:szCs w:val="24"/>
              </w:rPr>
            </w:pPr>
            <w:r>
              <w:rPr>
                <w:rFonts w:hint="eastAsia" w:ascii="仿宋_GB2312" w:hAnsi="Calibri" w:eastAsia="仿宋_GB2312" w:cs="Times New Roman"/>
                <w:b/>
                <w:szCs w:val="24"/>
              </w:rPr>
              <w:t>建筑</w:t>
            </w:r>
          </w:p>
          <w:p>
            <w:pPr>
              <w:spacing w:line="400" w:lineRule="atLeast"/>
              <w:ind w:left="-107" w:leftChars="-51" w:right="-105" w:rightChars="-50"/>
              <w:jc w:val="center"/>
              <w:rPr>
                <w:rFonts w:ascii="仿宋_GB2312" w:hAnsi="Calibri" w:eastAsia="仿宋_GB2312" w:cs="Times New Roman"/>
                <w:b/>
                <w:szCs w:val="24"/>
              </w:rPr>
            </w:pPr>
            <w:r>
              <w:rPr>
                <w:rFonts w:hint="eastAsia" w:ascii="仿宋_GB2312" w:hAnsi="Calibri" w:eastAsia="仿宋_GB2312" w:cs="Times New Roman"/>
                <w:b/>
                <w:szCs w:val="24"/>
              </w:rPr>
              <w:t>密度（</w:t>
            </w:r>
            <w:r>
              <w:rPr>
                <w:rFonts w:ascii="仿宋_GB2312" w:hAnsi="Calibri" w:eastAsia="仿宋_GB2312" w:cs="Times New Roman"/>
                <w:b/>
                <w:szCs w:val="24"/>
              </w:rPr>
              <w:t>D</w:t>
            </w:r>
            <w:r>
              <w:rPr>
                <w:rFonts w:hint="eastAsia" w:ascii="仿宋_GB2312" w:hAnsi="Calibri" w:eastAsia="仿宋_GB2312" w:cs="Times New Roman"/>
                <w:b/>
                <w:szCs w:val="24"/>
              </w:rPr>
              <w:t>）</w:t>
            </w:r>
          </w:p>
        </w:tc>
        <w:tc>
          <w:tcPr>
            <w:tcW w:w="857" w:type="dxa"/>
            <w:vAlign w:val="center"/>
          </w:tcPr>
          <w:p>
            <w:pPr>
              <w:spacing w:line="400" w:lineRule="atLeast"/>
              <w:ind w:left="-107" w:leftChars="-51" w:right="-105" w:rightChars="-50"/>
              <w:jc w:val="center"/>
              <w:rPr>
                <w:rFonts w:ascii="仿宋_GB2312" w:hAnsi="Calibri" w:eastAsia="仿宋_GB2312" w:cs="Times New Roman"/>
                <w:b/>
                <w:szCs w:val="24"/>
              </w:rPr>
            </w:pPr>
            <w:r>
              <w:rPr>
                <w:rFonts w:hint="eastAsia" w:ascii="仿宋_GB2312" w:hAnsi="Calibri" w:eastAsia="仿宋_GB2312" w:cs="Times New Roman"/>
                <w:b/>
                <w:szCs w:val="24"/>
              </w:rPr>
              <w:t>绿地率（</w:t>
            </w:r>
            <w:r>
              <w:rPr>
                <w:rFonts w:ascii="仿宋_GB2312" w:hAnsi="Calibri" w:eastAsia="仿宋_GB2312" w:cs="Times New Roman"/>
                <w:b/>
                <w:szCs w:val="24"/>
              </w:rPr>
              <w:t>GR</w:t>
            </w:r>
            <w:r>
              <w:rPr>
                <w:rFonts w:hint="eastAsia" w:ascii="仿宋_GB2312" w:hAnsi="Calibri" w:eastAsia="仿宋_GB2312" w:cs="Times New Roman"/>
                <w:b/>
                <w:szCs w:val="24"/>
              </w:rPr>
              <w:t>）</w:t>
            </w:r>
          </w:p>
        </w:tc>
        <w:tc>
          <w:tcPr>
            <w:tcW w:w="829" w:type="dxa"/>
            <w:vAlign w:val="center"/>
          </w:tcPr>
          <w:p>
            <w:pPr>
              <w:spacing w:line="400" w:lineRule="atLeast"/>
              <w:ind w:left="-107" w:leftChars="-51" w:right="-105" w:rightChars="-50"/>
              <w:jc w:val="center"/>
              <w:rPr>
                <w:rFonts w:ascii="仿宋_GB2312" w:hAnsi="Calibri" w:eastAsia="仿宋_GB2312" w:cs="Times New Roman"/>
                <w:b/>
                <w:szCs w:val="24"/>
              </w:rPr>
            </w:pPr>
            <w:r>
              <w:rPr>
                <w:rFonts w:hint="eastAsia" w:ascii="仿宋_GB2312" w:hAnsi="Calibri" w:eastAsia="仿宋_GB2312" w:cs="Times New Roman"/>
                <w:b/>
                <w:szCs w:val="24"/>
              </w:rPr>
              <w:t>建筑高度（米）</w:t>
            </w:r>
          </w:p>
        </w:tc>
        <w:tc>
          <w:tcPr>
            <w:tcW w:w="2167" w:type="dxa"/>
            <w:vAlign w:val="center"/>
          </w:tcPr>
          <w:p>
            <w:pPr>
              <w:spacing w:line="400" w:lineRule="atLeast"/>
              <w:ind w:left="-107" w:leftChars="-51" w:right="-105" w:rightChars="-50"/>
              <w:jc w:val="center"/>
              <w:rPr>
                <w:rFonts w:ascii="仿宋_GB2312" w:hAnsi="Calibri" w:eastAsia="仿宋_GB2312" w:cs="Times New Roman"/>
                <w:b/>
                <w:szCs w:val="24"/>
              </w:rPr>
            </w:pPr>
            <w:r>
              <w:rPr>
                <w:rFonts w:hint="eastAsia" w:ascii="仿宋_GB2312" w:hAnsi="Calibri" w:eastAsia="仿宋_GB2312" w:cs="Times New Roman"/>
                <w:b/>
                <w:szCs w:val="24"/>
              </w:rPr>
              <w:t>其他</w:t>
            </w:r>
          </w:p>
          <w:p>
            <w:pPr>
              <w:spacing w:line="400" w:lineRule="atLeast"/>
              <w:ind w:left="-107" w:leftChars="-51" w:right="-105" w:rightChars="-50"/>
              <w:jc w:val="center"/>
              <w:rPr>
                <w:rFonts w:ascii="仿宋_GB2312" w:hAnsi="Calibri" w:eastAsia="仿宋_GB2312" w:cs="Times New Roman"/>
                <w:b/>
                <w:szCs w:val="24"/>
              </w:rPr>
            </w:pPr>
            <w:r>
              <w:rPr>
                <w:rFonts w:hint="eastAsia" w:ascii="仿宋_GB2312" w:hAnsi="Calibri" w:eastAsia="仿宋_GB2312" w:cs="Times New Roman"/>
                <w:b/>
                <w:szCs w:val="24"/>
              </w:rPr>
              <w:t>要求</w:t>
            </w:r>
          </w:p>
        </w:tc>
        <w:tc>
          <w:tcPr>
            <w:tcW w:w="709" w:type="dxa"/>
            <w:vMerge w:val="continue"/>
            <w:vAlign w:val="center"/>
          </w:tcPr>
          <w:p>
            <w:pPr>
              <w:spacing w:line="400" w:lineRule="atLeast"/>
              <w:ind w:left="-107" w:leftChars="-51" w:right="-105" w:rightChars="-50"/>
              <w:jc w:val="center"/>
              <w:rPr>
                <w:rFonts w:ascii="仿宋_GB2312" w:hAnsi="Calibri" w:eastAsia="仿宋_GB2312"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1495" w:type="dxa"/>
            <w:vAlign w:val="center"/>
          </w:tcPr>
          <w:p>
            <w:pPr>
              <w:spacing w:line="300" w:lineRule="exact"/>
              <w:jc w:val="center"/>
              <w:rPr>
                <w:rFonts w:ascii="Calibri" w:hAnsi="Calibri" w:eastAsia="宋体" w:cs="Times New Roman"/>
                <w:szCs w:val="24"/>
              </w:rPr>
            </w:pPr>
            <w:r>
              <w:rPr>
                <w:rFonts w:ascii="仿宋" w:hAnsi="仿宋" w:eastAsia="仿宋" w:cs="Times New Roman"/>
                <w:sz w:val="24"/>
                <w:szCs w:val="24"/>
                <w:lang w:bidi="en-US"/>
              </w:rPr>
              <w:t>5.1984</w:t>
            </w:r>
          </w:p>
        </w:tc>
        <w:tc>
          <w:tcPr>
            <w:tcW w:w="953" w:type="dxa"/>
            <w:vAlign w:val="center"/>
          </w:tcPr>
          <w:p>
            <w:pPr>
              <w:spacing w:line="300" w:lineRule="exact"/>
              <w:ind w:left="-107" w:leftChars="-51" w:right="-105" w:rightChars="-50"/>
              <w:jc w:val="center"/>
              <w:rPr>
                <w:rFonts w:ascii="仿宋_GB2312" w:hAnsi="Calibri" w:eastAsia="仿宋_GB2312" w:cs="Times New Roman"/>
                <w:szCs w:val="24"/>
              </w:rPr>
            </w:pPr>
            <w:r>
              <w:rPr>
                <w:rFonts w:hint="eastAsia" w:ascii="仿宋" w:hAnsi="仿宋" w:eastAsia="仿宋" w:cs="Times New Roman"/>
                <w:sz w:val="24"/>
                <w:szCs w:val="24"/>
                <w:lang w:bidi="en-US"/>
              </w:rPr>
              <w:t>地下停车场兼绿地</w:t>
            </w:r>
          </w:p>
        </w:tc>
        <w:tc>
          <w:tcPr>
            <w:tcW w:w="803" w:type="dxa"/>
            <w:vAlign w:val="center"/>
          </w:tcPr>
          <w:p>
            <w:pPr>
              <w:spacing w:line="300" w:lineRule="exact"/>
              <w:ind w:left="-107" w:leftChars="-51" w:right="-105" w:rightChars="-50"/>
              <w:jc w:val="center"/>
              <w:rPr>
                <w:rFonts w:hint="eastAsia" w:ascii="仿宋_GB2312" w:hAnsi="宋体" w:eastAsia="仿宋_GB2312" w:cs="宋体"/>
                <w:szCs w:val="24"/>
              </w:rPr>
            </w:pPr>
            <w:r>
              <w:rPr>
                <w:rFonts w:hint="eastAsia" w:ascii="仿宋_GB2312" w:hAnsi="Calibri" w:eastAsia="仿宋_GB2312" w:cs="Times New Roman"/>
                <w:szCs w:val="24"/>
              </w:rPr>
              <w:t>/</w:t>
            </w:r>
          </w:p>
        </w:tc>
        <w:tc>
          <w:tcPr>
            <w:tcW w:w="829" w:type="dxa"/>
            <w:vAlign w:val="center"/>
          </w:tcPr>
          <w:p>
            <w:pPr>
              <w:spacing w:line="300" w:lineRule="exact"/>
              <w:ind w:left="-107" w:leftChars="-51" w:right="-105" w:rightChars="-50"/>
              <w:jc w:val="center"/>
              <w:rPr>
                <w:rFonts w:ascii="仿宋_GB2312" w:hAnsi="Calibri" w:eastAsia="仿宋_GB2312" w:cs="Times New Roman"/>
                <w:szCs w:val="24"/>
              </w:rPr>
            </w:pPr>
            <w:r>
              <w:rPr>
                <w:rFonts w:hint="eastAsia" w:ascii="仿宋_GB2312" w:hAnsi="Calibri" w:eastAsia="仿宋_GB2312" w:cs="Times New Roman"/>
                <w:szCs w:val="24"/>
              </w:rPr>
              <w:t>/</w:t>
            </w:r>
          </w:p>
        </w:tc>
        <w:tc>
          <w:tcPr>
            <w:tcW w:w="857" w:type="dxa"/>
            <w:vAlign w:val="center"/>
          </w:tcPr>
          <w:p>
            <w:pPr>
              <w:spacing w:line="300" w:lineRule="exact"/>
              <w:ind w:left="-107" w:leftChars="-51" w:right="-105" w:rightChars="-50"/>
              <w:jc w:val="center"/>
              <w:rPr>
                <w:rFonts w:ascii="仿宋_GB2312" w:hAnsi="Calibri" w:eastAsia="仿宋_GB2312" w:cs="Times New Roman"/>
                <w:szCs w:val="24"/>
              </w:rPr>
            </w:pPr>
            <w:r>
              <w:rPr>
                <w:rFonts w:hint="eastAsia" w:ascii="宋体" w:hAnsi="宋体" w:eastAsia="宋体" w:cs="宋体"/>
                <w:szCs w:val="24"/>
              </w:rPr>
              <w:t>≧</w:t>
            </w:r>
            <w:r>
              <w:rPr>
                <w:rFonts w:hint="eastAsia" w:ascii="仿宋_GB2312" w:hAnsi="Calibri" w:eastAsia="仿宋_GB2312" w:cs="Times New Roman"/>
                <w:szCs w:val="24"/>
              </w:rPr>
              <w:t>70%</w:t>
            </w:r>
          </w:p>
        </w:tc>
        <w:tc>
          <w:tcPr>
            <w:tcW w:w="829" w:type="dxa"/>
            <w:vAlign w:val="center"/>
          </w:tcPr>
          <w:p>
            <w:pPr>
              <w:spacing w:line="300" w:lineRule="exact"/>
              <w:ind w:left="-107" w:leftChars="-51" w:right="-105" w:rightChars="-50"/>
              <w:jc w:val="center"/>
              <w:rPr>
                <w:rFonts w:ascii="仿宋_GB2312" w:hAnsi="Calibri" w:eastAsia="仿宋_GB2312" w:cs="Times New Roman"/>
                <w:szCs w:val="24"/>
              </w:rPr>
            </w:pPr>
            <w:r>
              <w:rPr>
                <w:rFonts w:hint="eastAsia" w:ascii="仿宋_GB2312" w:hAnsi="Calibri" w:eastAsia="仿宋_GB2312" w:cs="Times New Roman"/>
                <w:szCs w:val="24"/>
              </w:rPr>
              <w:t>/</w:t>
            </w:r>
          </w:p>
        </w:tc>
        <w:tc>
          <w:tcPr>
            <w:tcW w:w="2167" w:type="dxa"/>
            <w:vAlign w:val="center"/>
          </w:tcPr>
          <w:p>
            <w:pPr>
              <w:spacing w:line="300" w:lineRule="exact"/>
              <w:rPr>
                <w:rFonts w:ascii="仿宋_GB2312" w:hAnsi="Calibri" w:eastAsia="仿宋_GB2312" w:cs="Times New Roman"/>
                <w:szCs w:val="24"/>
              </w:rPr>
            </w:pPr>
            <w:r>
              <w:rPr>
                <w:rFonts w:hint="eastAsia" w:ascii="仿宋_GB2312" w:hAnsi="Calibri" w:eastAsia="仿宋_GB2312" w:cs="Times New Roman"/>
                <w:szCs w:val="24"/>
              </w:rPr>
              <w:t>停车位配建应满足浙江省工程标准《城市建筑工程停车场（库）设置规划和配建标准》（</w:t>
            </w:r>
            <w:r>
              <w:rPr>
                <w:rFonts w:ascii="仿宋_GB2312" w:hAnsi="Calibri" w:eastAsia="仿宋_GB2312" w:cs="Times New Roman"/>
                <w:szCs w:val="24"/>
              </w:rPr>
              <w:t>DB33/1021-2013）</w:t>
            </w:r>
            <w:r>
              <w:rPr>
                <w:rFonts w:hint="eastAsia" w:ascii="仿宋_GB2312" w:hAnsi="Calibri" w:eastAsia="仿宋_GB2312" w:cs="Times New Roman"/>
                <w:szCs w:val="24"/>
              </w:rPr>
              <w:t>要求</w:t>
            </w:r>
          </w:p>
        </w:tc>
        <w:tc>
          <w:tcPr>
            <w:tcW w:w="709" w:type="dxa"/>
            <w:vAlign w:val="center"/>
          </w:tcPr>
          <w:p>
            <w:pPr>
              <w:spacing w:line="400" w:lineRule="atLeast"/>
              <w:ind w:left="-107" w:leftChars="-51" w:right="-105" w:rightChars="-50"/>
              <w:jc w:val="center"/>
              <w:rPr>
                <w:rFonts w:ascii="Calibri" w:hAnsi="Calibri" w:eastAsia="宋体" w:cs="Times New Roman"/>
                <w:szCs w:val="24"/>
              </w:rPr>
            </w:pPr>
            <w:r>
              <w:rPr>
                <w:rFonts w:ascii="Calibri" w:hAnsi="Calibri" w:eastAsia="宋体" w:cs="Times New Roman"/>
                <w:szCs w:val="24"/>
              </w:rPr>
              <w:t>4</w:t>
            </w:r>
            <w:r>
              <w:rPr>
                <w:rFonts w:hint="eastAsia" w:ascii="Calibri" w:hAnsi="Calibri" w:eastAsia="宋体" w:cs="Times New Roman"/>
                <w:szCs w:val="24"/>
              </w:rPr>
              <w:t>0</w:t>
            </w:r>
          </w:p>
        </w:tc>
      </w:tr>
    </w:tbl>
    <w:p>
      <w:pPr>
        <w:ind w:firstLine="640" w:firstLineChars="200"/>
        <w:rPr>
          <w:rFonts w:ascii="仿宋" w:hAnsi="仿宋" w:eastAsia="仿宋"/>
          <w:sz w:val="32"/>
          <w:szCs w:val="32"/>
        </w:rPr>
      </w:pPr>
      <w:r>
        <w:rPr>
          <w:rFonts w:hint="eastAsia" w:ascii="仿宋" w:hAnsi="仿宋" w:eastAsia="仿宋"/>
          <w:sz w:val="32"/>
          <w:szCs w:val="32"/>
        </w:rPr>
        <w:t>除上表外，其他要求详见该地块规划条件（龙〔</w:t>
      </w:r>
      <w:r>
        <w:rPr>
          <w:rFonts w:ascii="仿宋" w:hAnsi="仿宋" w:eastAsia="仿宋"/>
          <w:sz w:val="32"/>
          <w:szCs w:val="32"/>
        </w:rPr>
        <w:t>2022〕规划条件75号</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本宗海的投资强度不得低于</w:t>
      </w:r>
      <w:r>
        <w:rPr>
          <w:rFonts w:ascii="仿宋" w:hAnsi="仿宋" w:eastAsia="仿宋"/>
          <w:sz w:val="32"/>
          <w:szCs w:val="32"/>
        </w:rPr>
        <w:t>1150万元/公顷。</w:t>
      </w:r>
    </w:p>
    <w:p>
      <w:pPr>
        <w:ind w:firstLine="640" w:firstLineChars="200"/>
        <w:rPr>
          <w:rFonts w:ascii="仿宋" w:hAnsi="仿宋" w:eastAsia="仿宋"/>
          <w:sz w:val="32"/>
          <w:szCs w:val="32"/>
        </w:rPr>
      </w:pPr>
      <w:r>
        <w:rPr>
          <w:rFonts w:hint="eastAsia" w:ascii="仿宋" w:hAnsi="仿宋" w:eastAsia="仿宋"/>
          <w:sz w:val="32"/>
          <w:szCs w:val="32"/>
        </w:rPr>
        <w:t>本宗海的最终面积以填海竣工海域使用验收后的宗海面积为准。</w:t>
      </w:r>
    </w:p>
    <w:p>
      <w:pPr>
        <w:ind w:firstLine="640" w:firstLineChars="200"/>
        <w:rPr>
          <w:rFonts w:ascii="仿宋" w:hAnsi="仿宋" w:eastAsia="仿宋"/>
          <w:sz w:val="32"/>
          <w:szCs w:val="32"/>
        </w:rPr>
      </w:pPr>
      <w:r>
        <w:rPr>
          <w:rFonts w:hint="eastAsia" w:ascii="仿宋" w:hAnsi="仿宋" w:eastAsia="仿宋"/>
          <w:sz w:val="32"/>
          <w:szCs w:val="32"/>
        </w:rPr>
        <w:t>本宗海填海范围以宗海界址图四至为准，项目实际用海面积和经济指标以规划红线图及规划设计条件为准。</w:t>
      </w:r>
    </w:p>
    <w:p>
      <w:pPr>
        <w:ind w:firstLine="640" w:firstLineChars="200"/>
        <w:rPr>
          <w:rFonts w:ascii="仿宋" w:hAnsi="仿宋" w:eastAsia="仿宋"/>
          <w:sz w:val="32"/>
          <w:szCs w:val="32"/>
        </w:rPr>
      </w:pPr>
      <w:r>
        <w:rPr>
          <w:rFonts w:hint="eastAsia" w:ascii="仿宋" w:hAnsi="仿宋" w:eastAsia="仿宋"/>
          <w:sz w:val="32"/>
          <w:szCs w:val="32"/>
        </w:rPr>
        <w:t>四、用海移交事项</w:t>
      </w:r>
    </w:p>
    <w:p>
      <w:pPr>
        <w:ind w:firstLine="640" w:firstLineChars="200"/>
        <w:rPr>
          <w:rFonts w:ascii="仿宋" w:hAnsi="仿宋" w:eastAsia="仿宋"/>
          <w:sz w:val="32"/>
          <w:szCs w:val="32"/>
        </w:rPr>
      </w:pPr>
      <w:r>
        <w:rPr>
          <w:rFonts w:hint="eastAsia" w:ascii="仿宋" w:hAnsi="仿宋" w:eastAsia="仿宋"/>
          <w:sz w:val="32"/>
          <w:szCs w:val="32"/>
        </w:rPr>
        <w:t>（一）按届时的现状交付使用。龙港市自然资源与规划建设局将以届时现状海域交付用海竟得者，签订用海出让合同视为交付出让用海，并不再另行办理用海交付手续。</w:t>
      </w:r>
    </w:p>
    <w:p>
      <w:pPr>
        <w:ind w:firstLine="640" w:firstLineChars="200"/>
        <w:rPr>
          <w:rFonts w:ascii="仿宋" w:hAnsi="仿宋" w:eastAsia="仿宋"/>
          <w:sz w:val="32"/>
          <w:szCs w:val="32"/>
        </w:rPr>
      </w:pPr>
      <w:r>
        <w:rPr>
          <w:rFonts w:hint="eastAsia" w:ascii="仿宋" w:hAnsi="仿宋" w:eastAsia="仿宋"/>
          <w:sz w:val="32"/>
          <w:szCs w:val="32"/>
        </w:rPr>
        <w:t>（二）龙港市自然资源与规划建设局为办理用海移交的责任部门。</w:t>
      </w:r>
    </w:p>
    <w:p>
      <w:pPr>
        <w:ind w:firstLine="640" w:firstLineChars="200"/>
        <w:rPr>
          <w:rFonts w:ascii="仿宋" w:hAnsi="仿宋" w:eastAsia="仿宋"/>
          <w:sz w:val="32"/>
          <w:szCs w:val="32"/>
        </w:rPr>
      </w:pPr>
      <w:r>
        <w:rPr>
          <w:rFonts w:hint="eastAsia" w:ascii="仿宋" w:hAnsi="仿宋" w:eastAsia="仿宋"/>
          <w:sz w:val="32"/>
          <w:szCs w:val="32"/>
        </w:rPr>
        <w:t>五、竞买资格及要求</w:t>
      </w:r>
    </w:p>
    <w:p>
      <w:pPr>
        <w:ind w:firstLine="640" w:firstLineChars="200"/>
        <w:rPr>
          <w:rFonts w:ascii="仿宋" w:hAnsi="仿宋" w:eastAsia="仿宋"/>
          <w:sz w:val="32"/>
          <w:szCs w:val="32"/>
        </w:rPr>
      </w:pPr>
      <w:r>
        <w:rPr>
          <w:rFonts w:hint="eastAsia" w:ascii="仿宋" w:hAnsi="仿宋" w:eastAsia="仿宋"/>
          <w:sz w:val="32"/>
          <w:szCs w:val="32"/>
        </w:rPr>
        <w:t>（一）中华人民共和国境内外的法人或其他组织均可申请参加竟买，但法律规定对申请人另有限制的除外。如果竟得人尚未在龙港市内设立企业的，竟得后应当按规定在龙港市设立由竟买人全额出资的独立法人全资子公司，并以新设立的独立法人全资子公司与龙港市自然资源与规划建设局签订出让合同。</w:t>
      </w:r>
    </w:p>
    <w:p>
      <w:pPr>
        <w:ind w:firstLine="640" w:firstLineChars="200"/>
        <w:rPr>
          <w:rFonts w:ascii="仿宋" w:hAnsi="仿宋" w:eastAsia="仿宋"/>
          <w:sz w:val="32"/>
          <w:szCs w:val="32"/>
        </w:rPr>
      </w:pPr>
      <w:r>
        <w:rPr>
          <w:rFonts w:hint="eastAsia" w:ascii="仿宋" w:hAnsi="仿宋" w:eastAsia="仿宋"/>
          <w:sz w:val="32"/>
          <w:szCs w:val="32"/>
        </w:rPr>
        <w:t>本宗海不接受联合申请。</w:t>
      </w:r>
    </w:p>
    <w:p>
      <w:pPr>
        <w:ind w:firstLine="640" w:firstLineChars="200"/>
        <w:rPr>
          <w:rFonts w:ascii="仿宋" w:hAnsi="仿宋" w:eastAsia="仿宋"/>
          <w:sz w:val="32"/>
          <w:szCs w:val="32"/>
        </w:rPr>
      </w:pPr>
      <w:r>
        <w:rPr>
          <w:rFonts w:hint="eastAsia" w:ascii="仿宋" w:hAnsi="仿宋" w:eastAsia="仿宋"/>
          <w:sz w:val="32"/>
          <w:szCs w:val="32"/>
        </w:rPr>
        <w:t>（二）交纳竞买保证金截止时间为</w:t>
      </w:r>
      <w:r>
        <w:rPr>
          <w:rFonts w:hint="eastAsia" w:ascii="仿宋" w:hAnsi="仿宋" w:eastAsia="仿宋"/>
          <w:sz w:val="32"/>
          <w:szCs w:val="32"/>
          <w:u w:val="single"/>
          <w:lang w:eastAsia="zh-CN"/>
        </w:rPr>
        <w:t>2024年3月1日</w:t>
      </w:r>
      <w:r>
        <w:rPr>
          <w:rFonts w:ascii="仿宋" w:hAnsi="仿宋" w:eastAsia="仿宋"/>
          <w:sz w:val="32"/>
          <w:szCs w:val="32"/>
          <w:u w:val="single"/>
        </w:rPr>
        <w:t>17:00</w:t>
      </w:r>
      <w:r>
        <w:rPr>
          <w:rFonts w:ascii="仿宋" w:hAnsi="仿宋" w:eastAsia="仿宋"/>
          <w:sz w:val="32"/>
          <w:szCs w:val="32"/>
        </w:rPr>
        <w:t>时；保证金必须以竞买人名义交纳；竞买保证金的缴纳时间以到账时间为准。竞得人交纳的竞买保证金，挂牌成交后自动转作受让宗海的海域使用权出让款。未竞得人交纳的竞买保证金，在挂牌活动结束后5个工作日内予以退还，不计利息。</w:t>
      </w:r>
    </w:p>
    <w:p>
      <w:pPr>
        <w:ind w:firstLine="640" w:firstLineChars="200"/>
        <w:rPr>
          <w:rFonts w:ascii="仿宋" w:hAnsi="仿宋" w:eastAsia="仿宋"/>
          <w:sz w:val="32"/>
          <w:szCs w:val="32"/>
        </w:rPr>
      </w:pPr>
      <w:r>
        <w:rPr>
          <w:rFonts w:hint="eastAsia" w:ascii="仿宋" w:hAnsi="仿宋" w:eastAsia="仿宋"/>
          <w:sz w:val="32"/>
          <w:szCs w:val="32"/>
        </w:rPr>
        <w:t>（三）填海竣工验收时间：签订《海域使用权出让合同》</w:t>
      </w:r>
      <w:r>
        <w:rPr>
          <w:rFonts w:ascii="仿宋" w:hAnsi="仿宋" w:eastAsia="仿宋"/>
          <w:sz w:val="32"/>
          <w:szCs w:val="32"/>
        </w:rPr>
        <w:t>3个月内实现填海竣工海域使用验收并换发土地使用权证。</w:t>
      </w:r>
    </w:p>
    <w:p>
      <w:pPr>
        <w:ind w:firstLine="640" w:firstLineChars="200"/>
        <w:rPr>
          <w:rFonts w:ascii="仿宋" w:hAnsi="仿宋" w:eastAsia="仿宋"/>
          <w:sz w:val="32"/>
          <w:szCs w:val="32"/>
        </w:rPr>
      </w:pPr>
      <w:r>
        <w:rPr>
          <w:rFonts w:hint="eastAsia" w:ascii="仿宋" w:hAnsi="仿宋" w:eastAsia="仿宋"/>
          <w:sz w:val="32"/>
          <w:szCs w:val="32"/>
        </w:rPr>
        <w:t>六、申请和资格审查</w:t>
      </w:r>
    </w:p>
    <w:p>
      <w:pPr>
        <w:ind w:firstLine="640" w:firstLineChars="200"/>
        <w:rPr>
          <w:rFonts w:ascii="仿宋" w:hAnsi="仿宋" w:eastAsia="仿宋"/>
          <w:sz w:val="32"/>
          <w:szCs w:val="32"/>
        </w:rPr>
      </w:pPr>
      <w:r>
        <w:rPr>
          <w:rFonts w:hint="eastAsia" w:ascii="仿宋" w:hAnsi="仿宋" w:eastAsia="仿宋"/>
          <w:sz w:val="32"/>
          <w:szCs w:val="32"/>
        </w:rPr>
        <w:t>（一）挂牌文件取得。</w:t>
      </w:r>
    </w:p>
    <w:p>
      <w:pPr>
        <w:ind w:firstLine="640" w:firstLineChars="200"/>
        <w:rPr>
          <w:rFonts w:ascii="仿宋" w:hAnsi="仿宋" w:eastAsia="仿宋"/>
          <w:sz w:val="32"/>
          <w:szCs w:val="32"/>
        </w:rPr>
      </w:pPr>
      <w:r>
        <w:rPr>
          <w:rFonts w:hint="eastAsia" w:ascii="仿宋" w:hAnsi="仿宋" w:eastAsia="仿宋"/>
          <w:sz w:val="32"/>
          <w:szCs w:val="32"/>
        </w:rPr>
        <w:t>申请人可于</w:t>
      </w:r>
      <w:r>
        <w:rPr>
          <w:rFonts w:hint="eastAsia" w:ascii="仿宋" w:hAnsi="仿宋" w:eastAsia="仿宋"/>
          <w:sz w:val="32"/>
          <w:szCs w:val="32"/>
          <w:u w:val="single"/>
          <w:lang w:eastAsia="zh-CN"/>
        </w:rPr>
        <w:t>2024年2月20日</w:t>
      </w:r>
      <w:r>
        <w:rPr>
          <w:rFonts w:ascii="仿宋" w:hAnsi="仿宋" w:eastAsia="仿宋"/>
          <w:sz w:val="32"/>
          <w:szCs w:val="32"/>
        </w:rPr>
        <w:t>前到龙港市政务服务中心（地址）获取本次挂牌出让文件，具体包括：</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 xml:space="preserve">1）挂牌出让公告； </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2）挂牌出让须知；</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3）竞买申请书（样本）；</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4）挂牌出让报价单（样本）；</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5）宗海界址图；</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 xml:space="preserve">6）规划条件； </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7）成交确认书（样本）；</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8）海域使用权出让合同（样本）；</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9）其他相关文件。</w:t>
      </w:r>
    </w:p>
    <w:p>
      <w:pPr>
        <w:ind w:firstLine="640" w:firstLineChars="200"/>
        <w:rPr>
          <w:rFonts w:ascii="仿宋" w:hAnsi="仿宋" w:eastAsia="仿宋"/>
          <w:sz w:val="32"/>
          <w:szCs w:val="32"/>
        </w:rPr>
      </w:pPr>
      <w:r>
        <w:rPr>
          <w:rFonts w:hint="eastAsia" w:ascii="仿宋" w:hAnsi="仿宋" w:eastAsia="仿宋"/>
          <w:sz w:val="32"/>
          <w:szCs w:val="32"/>
        </w:rPr>
        <w:t>（二）提交申请。</w:t>
      </w:r>
    </w:p>
    <w:p>
      <w:pPr>
        <w:ind w:firstLine="640" w:firstLineChars="200"/>
        <w:rPr>
          <w:rFonts w:ascii="仿宋" w:hAnsi="仿宋" w:eastAsia="仿宋"/>
          <w:sz w:val="32"/>
          <w:szCs w:val="32"/>
        </w:rPr>
      </w:pPr>
      <w:r>
        <w:rPr>
          <w:rFonts w:hint="eastAsia" w:ascii="仿宋" w:hAnsi="仿宋" w:eastAsia="仿宋"/>
          <w:sz w:val="32"/>
          <w:szCs w:val="32"/>
        </w:rPr>
        <w:t>申请人可于</w:t>
      </w:r>
      <w:r>
        <w:rPr>
          <w:rFonts w:hint="eastAsia" w:ascii="仿宋" w:hAnsi="仿宋" w:eastAsia="仿宋"/>
          <w:sz w:val="32"/>
          <w:szCs w:val="32"/>
          <w:u w:val="single"/>
          <w:lang w:eastAsia="zh-CN"/>
        </w:rPr>
        <w:t>2024年2月21日</w:t>
      </w:r>
      <w:r>
        <w:rPr>
          <w:rFonts w:ascii="仿宋" w:hAnsi="仿宋" w:eastAsia="仿宋"/>
          <w:sz w:val="32"/>
          <w:szCs w:val="32"/>
          <w:u w:val="single"/>
        </w:rPr>
        <w:t>至</w:t>
      </w:r>
      <w:r>
        <w:rPr>
          <w:rFonts w:hint="eastAsia" w:ascii="仿宋" w:hAnsi="仿宋" w:eastAsia="仿宋"/>
          <w:sz w:val="32"/>
          <w:szCs w:val="32"/>
          <w:u w:val="single"/>
          <w:lang w:eastAsia="zh-CN"/>
        </w:rPr>
        <w:t>2024年3月1日</w:t>
      </w:r>
      <w:r>
        <w:rPr>
          <w:rFonts w:ascii="仿宋" w:hAnsi="仿宋" w:eastAsia="仿宋"/>
          <w:sz w:val="32"/>
          <w:szCs w:val="32"/>
          <w:u w:val="single"/>
        </w:rPr>
        <w:t>17:00 时</w:t>
      </w:r>
      <w:r>
        <w:rPr>
          <w:rFonts w:ascii="仿宋" w:hAnsi="仿宋" w:eastAsia="仿宋"/>
          <w:sz w:val="32"/>
          <w:szCs w:val="32"/>
        </w:rPr>
        <w:t>，到龙港市政务服务中心提交书面申请。申请文件包括：</w:t>
      </w:r>
    </w:p>
    <w:p>
      <w:pPr>
        <w:ind w:firstLine="640" w:firstLineChars="200"/>
        <w:rPr>
          <w:rFonts w:ascii="仿宋" w:hAnsi="仿宋" w:eastAsia="仿宋"/>
          <w:sz w:val="32"/>
          <w:szCs w:val="32"/>
        </w:rPr>
      </w:pPr>
      <w:r>
        <w:rPr>
          <w:rFonts w:ascii="仿宋" w:hAnsi="仿宋" w:eastAsia="仿宋"/>
          <w:sz w:val="32"/>
          <w:szCs w:val="32"/>
        </w:rPr>
        <w:t>1、境内企业法人申请的，应提交下列文件：</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1）竞买申请书；</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2）法人单位有效证明文件（营业执照副本）及法人单位公章；</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3）法定代表人的有效身份证明文件；</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4）申请人委托他人办理的，应提交经公证的授权委托书及委托代理人的有效身份证明文件；</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5）竞买保证金交纳凭证；</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6）挂牌文件规定需要提交的其他文件。</w:t>
      </w:r>
    </w:p>
    <w:p>
      <w:pPr>
        <w:ind w:firstLine="640" w:firstLineChars="200"/>
        <w:rPr>
          <w:rFonts w:ascii="仿宋" w:hAnsi="仿宋" w:eastAsia="仿宋"/>
          <w:sz w:val="32"/>
          <w:szCs w:val="32"/>
        </w:rPr>
      </w:pPr>
      <w:r>
        <w:rPr>
          <w:rFonts w:ascii="仿宋" w:hAnsi="仿宋" w:eastAsia="仿宋"/>
          <w:sz w:val="32"/>
          <w:szCs w:val="32"/>
        </w:rPr>
        <w:t>2、境外企业法人申请的，应提交下列文件：</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1）竞买申请书；</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2）境外法人的有效身份证明文件；</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3）申请人委托他人办理的，应提交授权委托书及委托代理人的有效身份证明文件；</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4）竞买保证金交纳凭证；</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5）挂牌文件规定需要提交的其他文件。</w:t>
      </w:r>
    </w:p>
    <w:p>
      <w:pPr>
        <w:ind w:firstLine="640" w:firstLineChars="200"/>
        <w:rPr>
          <w:rFonts w:ascii="仿宋" w:hAnsi="仿宋" w:eastAsia="仿宋"/>
          <w:sz w:val="32"/>
          <w:szCs w:val="32"/>
        </w:rPr>
      </w:pPr>
      <w:r>
        <w:rPr>
          <w:rFonts w:hint="eastAsia" w:ascii="仿宋" w:hAnsi="仿宋" w:eastAsia="仿宋"/>
          <w:sz w:val="32"/>
          <w:szCs w:val="32"/>
        </w:rPr>
        <w:t>上述文件中，申请书必须用中文书写，其他文件可以使用其他语言，但必须附中文译本，所有文件的解释以中文译本为准。</w:t>
      </w:r>
    </w:p>
    <w:p>
      <w:pPr>
        <w:ind w:firstLine="640" w:firstLineChars="200"/>
        <w:rPr>
          <w:rFonts w:ascii="仿宋" w:hAnsi="仿宋" w:eastAsia="仿宋"/>
          <w:sz w:val="32"/>
          <w:szCs w:val="32"/>
        </w:rPr>
      </w:pPr>
      <w:r>
        <w:rPr>
          <w:rFonts w:hint="eastAsia" w:ascii="仿宋" w:hAnsi="仿宋" w:eastAsia="仿宋"/>
          <w:sz w:val="32"/>
          <w:szCs w:val="32"/>
        </w:rPr>
        <w:t>（三）资格审查。</w:t>
      </w:r>
    </w:p>
    <w:p>
      <w:pPr>
        <w:ind w:firstLine="640" w:firstLineChars="200"/>
        <w:rPr>
          <w:rFonts w:ascii="仿宋" w:hAnsi="仿宋" w:eastAsia="仿宋"/>
          <w:sz w:val="32"/>
          <w:szCs w:val="32"/>
        </w:rPr>
      </w:pPr>
      <w:r>
        <w:rPr>
          <w:rFonts w:hint="eastAsia" w:ascii="仿宋" w:hAnsi="仿宋" w:eastAsia="仿宋"/>
          <w:sz w:val="32"/>
          <w:szCs w:val="32"/>
        </w:rPr>
        <w:t>龙港市政务服务中心负责对挂牌出让公告规定的时间内收到的申请进行审查，按规定交纳竞买保证金并通过资格审查的，方能取得竞买资格。</w:t>
      </w:r>
    </w:p>
    <w:p>
      <w:pPr>
        <w:ind w:firstLine="640" w:firstLineChars="200"/>
        <w:rPr>
          <w:rFonts w:ascii="仿宋" w:hAnsi="仿宋" w:eastAsia="仿宋"/>
          <w:sz w:val="32"/>
          <w:szCs w:val="32"/>
        </w:rPr>
      </w:pPr>
      <w:r>
        <w:rPr>
          <w:rFonts w:hint="eastAsia" w:ascii="仿宋" w:hAnsi="仿宋" w:eastAsia="仿宋"/>
          <w:sz w:val="32"/>
          <w:szCs w:val="32"/>
        </w:rPr>
        <w:t>经审查，有下列情形之一的，为无效申请：</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 xml:space="preserve">1）申请人不具备竞买资格的； </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 xml:space="preserve">2）未按规定交纳竞买保证金的； </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3）申请文件不齐全或不符合规定的；</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4）委托他人代理，委托文件不齐全或不符合规定的；</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5）法律法规规定的其他情形。</w:t>
      </w:r>
    </w:p>
    <w:p>
      <w:pPr>
        <w:ind w:firstLine="640" w:firstLineChars="200"/>
        <w:rPr>
          <w:rFonts w:ascii="仿宋" w:hAnsi="仿宋" w:eastAsia="仿宋"/>
          <w:sz w:val="32"/>
          <w:szCs w:val="32"/>
        </w:rPr>
      </w:pPr>
      <w:r>
        <w:rPr>
          <w:rFonts w:hint="eastAsia" w:ascii="仿宋" w:hAnsi="仿宋" w:eastAsia="仿宋"/>
          <w:sz w:val="32"/>
          <w:szCs w:val="32"/>
        </w:rPr>
        <w:t>（四）确认竞买人资格</w:t>
      </w:r>
    </w:p>
    <w:p>
      <w:pPr>
        <w:ind w:firstLine="640" w:firstLineChars="200"/>
        <w:rPr>
          <w:rFonts w:ascii="仿宋" w:hAnsi="仿宋" w:eastAsia="仿宋"/>
          <w:sz w:val="32"/>
          <w:szCs w:val="32"/>
        </w:rPr>
      </w:pPr>
      <w:r>
        <w:rPr>
          <w:rFonts w:hint="eastAsia" w:ascii="仿宋" w:hAnsi="仿宋" w:eastAsia="仿宋"/>
          <w:sz w:val="32"/>
          <w:szCs w:val="32"/>
        </w:rPr>
        <w:t>经审查，申请人按规定交纳竞买保证金、具备申请条件的，龙港市政务服务中心将在</w:t>
      </w:r>
      <w:r>
        <w:rPr>
          <w:rFonts w:hint="eastAsia" w:ascii="仿宋" w:hAnsi="仿宋" w:eastAsia="仿宋"/>
          <w:sz w:val="32"/>
          <w:szCs w:val="32"/>
          <w:u w:val="single"/>
          <w:lang w:eastAsia="zh-CN"/>
        </w:rPr>
        <w:t>2024年3月5日</w:t>
      </w:r>
      <w:r>
        <w:rPr>
          <w:rFonts w:ascii="仿宋" w:hAnsi="仿宋" w:eastAsia="仿宋"/>
          <w:sz w:val="32"/>
          <w:szCs w:val="32"/>
          <w:u w:val="single"/>
        </w:rPr>
        <w:t>11:30前</w:t>
      </w:r>
      <w:r>
        <w:rPr>
          <w:rFonts w:ascii="仿宋" w:hAnsi="仿宋" w:eastAsia="仿宋"/>
          <w:sz w:val="32"/>
          <w:szCs w:val="32"/>
        </w:rPr>
        <w:t>确认其竞买资格，并通知其参加挂牌活动。</w:t>
      </w:r>
    </w:p>
    <w:p>
      <w:pPr>
        <w:ind w:firstLine="640" w:firstLineChars="200"/>
        <w:rPr>
          <w:rFonts w:ascii="仿宋" w:hAnsi="仿宋" w:eastAsia="仿宋"/>
          <w:sz w:val="32"/>
          <w:szCs w:val="32"/>
        </w:rPr>
      </w:pPr>
      <w:r>
        <w:rPr>
          <w:rFonts w:hint="eastAsia" w:ascii="仿宋" w:hAnsi="仿宋" w:eastAsia="仿宋"/>
          <w:sz w:val="32"/>
          <w:szCs w:val="32"/>
        </w:rPr>
        <w:t>（五）答疑及现场踏勘。</w:t>
      </w:r>
    </w:p>
    <w:p>
      <w:pPr>
        <w:ind w:firstLine="640" w:firstLineChars="200"/>
        <w:rPr>
          <w:rFonts w:ascii="仿宋" w:hAnsi="仿宋" w:eastAsia="仿宋"/>
          <w:sz w:val="32"/>
          <w:szCs w:val="32"/>
        </w:rPr>
      </w:pPr>
      <w:r>
        <w:rPr>
          <w:rFonts w:hint="eastAsia" w:ascii="仿宋" w:hAnsi="仿宋" w:eastAsia="仿宋"/>
          <w:sz w:val="32"/>
          <w:szCs w:val="32"/>
        </w:rPr>
        <w:t>申请人对挂牌出让文件有疑问的，可以在挂牌竞价前</w:t>
      </w:r>
      <w:r>
        <w:rPr>
          <w:rFonts w:ascii="仿宋" w:hAnsi="仿宋" w:eastAsia="仿宋"/>
          <w:sz w:val="32"/>
          <w:szCs w:val="32"/>
        </w:rPr>
        <w:t>3日以书面或者口头方式进行咨询。</w:t>
      </w:r>
    </w:p>
    <w:p>
      <w:pPr>
        <w:ind w:firstLine="640" w:firstLineChars="200"/>
        <w:rPr>
          <w:rFonts w:ascii="仿宋" w:hAnsi="仿宋" w:eastAsia="仿宋"/>
          <w:sz w:val="32"/>
          <w:szCs w:val="32"/>
        </w:rPr>
      </w:pPr>
      <w:r>
        <w:rPr>
          <w:rFonts w:hint="eastAsia" w:ascii="仿宋" w:hAnsi="仿宋" w:eastAsia="仿宋"/>
          <w:sz w:val="32"/>
          <w:szCs w:val="32"/>
        </w:rPr>
        <w:t>申请人应在挂牌竞价前</w:t>
      </w:r>
      <w:r>
        <w:rPr>
          <w:rFonts w:ascii="仿宋" w:hAnsi="仿宋" w:eastAsia="仿宋"/>
          <w:sz w:val="32"/>
          <w:szCs w:val="32"/>
        </w:rPr>
        <w:t>3日提出现场踏勘要求，龙港市自然资源与规划建设局将统一组织申请人到出让海域进行现场踏勘。</w:t>
      </w:r>
    </w:p>
    <w:p>
      <w:pPr>
        <w:ind w:firstLine="640" w:firstLineChars="200"/>
        <w:rPr>
          <w:rFonts w:ascii="仿宋" w:hAnsi="仿宋" w:eastAsia="仿宋"/>
          <w:sz w:val="32"/>
          <w:szCs w:val="32"/>
        </w:rPr>
      </w:pPr>
      <w:r>
        <w:rPr>
          <w:rFonts w:hint="eastAsia" w:ascii="仿宋" w:hAnsi="仿宋" w:eastAsia="仿宋"/>
          <w:sz w:val="32"/>
          <w:szCs w:val="32"/>
        </w:rPr>
        <w:t>七、本次挂牌出让活动有关时间</w:t>
      </w:r>
    </w:p>
    <w:p>
      <w:pPr>
        <w:ind w:firstLine="640" w:firstLineChars="200"/>
        <w:rPr>
          <w:rFonts w:ascii="仿宋" w:hAnsi="仿宋" w:eastAsia="仿宋"/>
          <w:sz w:val="32"/>
          <w:szCs w:val="32"/>
        </w:rPr>
      </w:pPr>
      <w:r>
        <w:rPr>
          <w:rFonts w:hint="eastAsia" w:ascii="仿宋" w:hAnsi="仿宋" w:eastAsia="仿宋"/>
          <w:sz w:val="32"/>
          <w:szCs w:val="32"/>
        </w:rPr>
        <w:t>挂牌时间为</w:t>
      </w:r>
      <w:r>
        <w:rPr>
          <w:rFonts w:ascii="仿宋" w:hAnsi="仿宋" w:eastAsia="仿宋"/>
          <w:sz w:val="32"/>
          <w:szCs w:val="32"/>
        </w:rPr>
        <w:t>10个工作日，具体为</w:t>
      </w:r>
      <w:r>
        <w:rPr>
          <w:rFonts w:hint="eastAsia" w:ascii="仿宋" w:hAnsi="仿宋" w:eastAsia="仿宋"/>
          <w:sz w:val="32"/>
          <w:szCs w:val="32"/>
          <w:u w:val="single"/>
          <w:lang w:eastAsia="zh-CN"/>
        </w:rPr>
        <w:t>2024年2月21日</w:t>
      </w:r>
      <w:r>
        <w:rPr>
          <w:rFonts w:ascii="仿宋" w:hAnsi="仿宋" w:eastAsia="仿宋"/>
          <w:sz w:val="32"/>
          <w:szCs w:val="32"/>
          <w:u w:val="single"/>
        </w:rPr>
        <w:t>8:30时至</w:t>
      </w:r>
      <w:r>
        <w:rPr>
          <w:rFonts w:hint="eastAsia" w:ascii="仿宋" w:hAnsi="仿宋" w:eastAsia="仿宋"/>
          <w:sz w:val="32"/>
          <w:szCs w:val="32"/>
          <w:u w:val="single"/>
          <w:lang w:eastAsia="zh-CN"/>
        </w:rPr>
        <w:t>2024年3月5日</w:t>
      </w:r>
      <w:r>
        <w:rPr>
          <w:rFonts w:ascii="仿宋" w:hAnsi="仿宋" w:eastAsia="仿宋"/>
          <w:sz w:val="32"/>
          <w:szCs w:val="32"/>
          <w:u w:val="single"/>
        </w:rPr>
        <w:t>15:00时</w:t>
      </w:r>
      <w:r>
        <w:rPr>
          <w:rFonts w:ascii="仿宋" w:hAnsi="仿宋" w:eastAsia="仿宋"/>
          <w:sz w:val="32"/>
          <w:szCs w:val="32"/>
        </w:rPr>
        <w:t>之前（工作日）。</w:t>
      </w:r>
    </w:p>
    <w:p>
      <w:pPr>
        <w:ind w:firstLine="640" w:firstLineChars="200"/>
        <w:rPr>
          <w:rFonts w:ascii="仿宋" w:hAnsi="仿宋" w:eastAsia="仿宋"/>
          <w:sz w:val="32"/>
          <w:szCs w:val="32"/>
        </w:rPr>
      </w:pPr>
      <w:r>
        <w:rPr>
          <w:rFonts w:hint="eastAsia" w:ascii="仿宋" w:hAnsi="仿宋" w:eastAsia="仿宋"/>
          <w:sz w:val="32"/>
          <w:szCs w:val="32"/>
        </w:rPr>
        <w:t>接受挂牌报价时间</w:t>
      </w:r>
      <w:r>
        <w:rPr>
          <w:rFonts w:hint="eastAsia" w:ascii="仿宋" w:hAnsi="仿宋" w:eastAsia="仿宋"/>
          <w:sz w:val="32"/>
          <w:szCs w:val="32"/>
          <w:u w:val="single"/>
          <w:lang w:eastAsia="zh-CN"/>
        </w:rPr>
        <w:t>2024年2月21日</w:t>
      </w:r>
      <w:r>
        <w:rPr>
          <w:rFonts w:ascii="仿宋" w:hAnsi="仿宋" w:eastAsia="仿宋"/>
          <w:sz w:val="32"/>
          <w:szCs w:val="32"/>
          <w:u w:val="single"/>
        </w:rPr>
        <w:t>8:30时至</w:t>
      </w:r>
      <w:r>
        <w:rPr>
          <w:rFonts w:hint="eastAsia" w:ascii="仿宋" w:hAnsi="仿宋" w:eastAsia="仿宋"/>
          <w:sz w:val="32"/>
          <w:szCs w:val="32"/>
          <w:u w:val="single"/>
          <w:lang w:eastAsia="zh-CN"/>
        </w:rPr>
        <w:t>2024年3月5日</w:t>
      </w:r>
      <w:r>
        <w:rPr>
          <w:rFonts w:ascii="仿宋" w:hAnsi="仿宋" w:eastAsia="仿宋"/>
          <w:sz w:val="32"/>
          <w:szCs w:val="32"/>
          <w:u w:val="single"/>
        </w:rPr>
        <w:t>15:00时</w:t>
      </w:r>
      <w:r>
        <w:rPr>
          <w:rFonts w:ascii="仿宋" w:hAnsi="仿宋" w:eastAsia="仿宋"/>
          <w:sz w:val="32"/>
          <w:szCs w:val="32"/>
        </w:rPr>
        <w:t>（工作日）。</w:t>
      </w:r>
    </w:p>
    <w:p>
      <w:pPr>
        <w:ind w:firstLine="640" w:firstLineChars="200"/>
        <w:rPr>
          <w:rFonts w:ascii="仿宋" w:hAnsi="仿宋" w:eastAsia="仿宋"/>
          <w:sz w:val="32"/>
          <w:szCs w:val="32"/>
        </w:rPr>
      </w:pPr>
      <w:r>
        <w:rPr>
          <w:rFonts w:hint="eastAsia" w:ascii="仿宋" w:hAnsi="仿宋" w:eastAsia="仿宋"/>
          <w:sz w:val="32"/>
          <w:szCs w:val="32"/>
        </w:rPr>
        <w:t>八、宗海（宗地）的挂牌起始价、竞买保证金、增价幅度（本次挂牌不设底价）详见下表：</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3"/>
        <w:gridCol w:w="1403"/>
        <w:gridCol w:w="1471"/>
        <w:gridCol w:w="1471"/>
        <w:gridCol w:w="16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6" w:hRule="exact"/>
          <w:jc w:val="center"/>
        </w:trPr>
        <w:tc>
          <w:tcPr>
            <w:tcW w:w="2263" w:type="dxa"/>
            <w:vAlign w:val="center"/>
          </w:tcPr>
          <w:p>
            <w:pPr>
              <w:spacing w:line="520" w:lineRule="exact"/>
              <w:ind w:left="-107" w:leftChars="-51" w:right="-105" w:rightChars="-50"/>
              <w:jc w:val="center"/>
              <w:rPr>
                <w:rFonts w:ascii="仿宋" w:hAnsi="仿宋" w:eastAsia="仿宋" w:cs="Times New Roman"/>
                <w:sz w:val="24"/>
                <w:szCs w:val="24"/>
              </w:rPr>
            </w:pPr>
            <w:r>
              <w:rPr>
                <w:rFonts w:hint="eastAsia" w:ascii="仿宋" w:hAnsi="仿宋" w:eastAsia="仿宋" w:cs="Times New Roman"/>
                <w:sz w:val="24"/>
                <w:szCs w:val="24"/>
              </w:rPr>
              <w:t>出让海域</w:t>
            </w:r>
          </w:p>
          <w:p>
            <w:pPr>
              <w:spacing w:line="520" w:lineRule="exact"/>
              <w:ind w:left="-107" w:leftChars="-51" w:right="-105" w:rightChars="-50"/>
              <w:jc w:val="center"/>
              <w:rPr>
                <w:rFonts w:hint="eastAsia" w:ascii="仿宋" w:hAnsi="仿宋" w:eastAsia="仿宋" w:cs="Times New Roman"/>
                <w:sz w:val="24"/>
                <w:szCs w:val="24"/>
              </w:rPr>
            </w:pPr>
            <w:r>
              <w:rPr>
                <w:rFonts w:hint="eastAsia" w:ascii="仿宋" w:hAnsi="仿宋" w:eastAsia="仿宋" w:cs="Times New Roman"/>
                <w:sz w:val="24"/>
                <w:szCs w:val="24"/>
              </w:rPr>
              <w:t>（编号）</w:t>
            </w:r>
          </w:p>
        </w:tc>
        <w:tc>
          <w:tcPr>
            <w:tcW w:w="1403" w:type="dxa"/>
            <w:tcBorders>
              <w:left w:val="single" w:color="auto" w:sz="4" w:space="0"/>
            </w:tcBorders>
            <w:vAlign w:val="center"/>
          </w:tcPr>
          <w:p>
            <w:pPr>
              <w:widowControl/>
              <w:jc w:val="center"/>
              <w:rPr>
                <w:rFonts w:hint="eastAsia" w:ascii="仿宋" w:hAnsi="仿宋" w:eastAsia="仿宋" w:cs="Times New Roman"/>
                <w:sz w:val="24"/>
                <w:szCs w:val="24"/>
              </w:rPr>
            </w:pPr>
            <w:r>
              <w:rPr>
                <w:rFonts w:hint="eastAsia" w:ascii="仿宋" w:hAnsi="仿宋" w:eastAsia="仿宋" w:cs="Times New Roman"/>
                <w:sz w:val="24"/>
                <w:szCs w:val="24"/>
              </w:rPr>
              <w:t>面积</w:t>
            </w:r>
          </w:p>
          <w:p>
            <w:pPr>
              <w:widowControl/>
              <w:jc w:val="center"/>
              <w:rPr>
                <w:rFonts w:hint="eastAsia" w:ascii="仿宋" w:hAnsi="仿宋" w:eastAsia="仿宋" w:cs="Times New Roman"/>
                <w:sz w:val="24"/>
                <w:szCs w:val="24"/>
              </w:rPr>
            </w:pPr>
            <w:r>
              <w:rPr>
                <w:rFonts w:hint="eastAsia" w:ascii="仿宋" w:hAnsi="仿宋" w:eastAsia="仿宋" w:cs="Times New Roman"/>
                <w:sz w:val="24"/>
                <w:szCs w:val="24"/>
              </w:rPr>
              <w:t>（公顷）</w:t>
            </w:r>
          </w:p>
        </w:tc>
        <w:tc>
          <w:tcPr>
            <w:tcW w:w="1471" w:type="dxa"/>
            <w:vAlign w:val="center"/>
          </w:tcPr>
          <w:p>
            <w:pPr>
              <w:spacing w:line="520" w:lineRule="exact"/>
              <w:jc w:val="center"/>
              <w:rPr>
                <w:rFonts w:hint="eastAsia" w:ascii="仿宋" w:hAnsi="仿宋" w:eastAsia="仿宋" w:cs="Times New Roman"/>
                <w:sz w:val="24"/>
                <w:szCs w:val="24"/>
              </w:rPr>
            </w:pPr>
            <w:r>
              <w:rPr>
                <w:rFonts w:hint="eastAsia" w:ascii="仿宋" w:hAnsi="仿宋" w:eastAsia="仿宋" w:cs="Times New Roman"/>
                <w:sz w:val="24"/>
                <w:szCs w:val="24"/>
              </w:rPr>
              <w:t>挂牌起始价（万元）</w:t>
            </w:r>
          </w:p>
        </w:tc>
        <w:tc>
          <w:tcPr>
            <w:tcW w:w="1471" w:type="dxa"/>
            <w:vAlign w:val="center"/>
          </w:tcPr>
          <w:p>
            <w:pPr>
              <w:spacing w:line="520" w:lineRule="exact"/>
              <w:jc w:val="center"/>
              <w:rPr>
                <w:rFonts w:hint="eastAsia" w:ascii="仿宋" w:hAnsi="仿宋" w:eastAsia="仿宋" w:cs="Times New Roman"/>
                <w:sz w:val="24"/>
                <w:szCs w:val="24"/>
              </w:rPr>
            </w:pPr>
            <w:r>
              <w:rPr>
                <w:rFonts w:hint="eastAsia" w:ascii="仿宋" w:hAnsi="仿宋" w:eastAsia="仿宋" w:cs="Times New Roman"/>
                <w:sz w:val="24"/>
                <w:szCs w:val="24"/>
              </w:rPr>
              <w:t>竞买保证金（万元）</w:t>
            </w:r>
          </w:p>
        </w:tc>
        <w:tc>
          <w:tcPr>
            <w:tcW w:w="1609" w:type="dxa"/>
            <w:vAlign w:val="center"/>
          </w:tcPr>
          <w:p>
            <w:pPr>
              <w:spacing w:line="520" w:lineRule="exact"/>
              <w:jc w:val="center"/>
              <w:rPr>
                <w:rFonts w:hint="eastAsia" w:ascii="仿宋" w:hAnsi="仿宋" w:eastAsia="仿宋" w:cs="Times New Roman"/>
                <w:sz w:val="24"/>
                <w:szCs w:val="24"/>
              </w:rPr>
            </w:pPr>
            <w:r>
              <w:rPr>
                <w:rFonts w:hint="eastAsia" w:ascii="仿宋" w:hAnsi="仿宋" w:eastAsia="仿宋" w:cs="Times New Roman"/>
                <w:sz w:val="24"/>
                <w:szCs w:val="24"/>
              </w:rPr>
              <w:t>增价幅度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5" w:hRule="exact"/>
          <w:jc w:val="center"/>
        </w:trPr>
        <w:tc>
          <w:tcPr>
            <w:tcW w:w="2263" w:type="dxa"/>
            <w:vAlign w:val="center"/>
          </w:tcPr>
          <w:p>
            <w:pPr>
              <w:spacing w:line="300" w:lineRule="exact"/>
              <w:jc w:val="center"/>
              <w:rPr>
                <w:rFonts w:hint="eastAsia" w:ascii="仿宋" w:hAnsi="仿宋" w:eastAsia="仿宋" w:cs="Times New Roman"/>
                <w:szCs w:val="24"/>
              </w:rPr>
            </w:pPr>
            <w:r>
              <w:rPr>
                <w:rFonts w:hint="eastAsia" w:ascii="仿宋" w:hAnsi="仿宋" w:eastAsia="仿宋" w:cs="Times New Roman"/>
                <w:sz w:val="24"/>
                <w:szCs w:val="24"/>
                <w:lang w:bidi="en-US"/>
              </w:rPr>
              <w:t>XC-LH-a13</w:t>
            </w:r>
          </w:p>
        </w:tc>
        <w:tc>
          <w:tcPr>
            <w:tcW w:w="1403" w:type="dxa"/>
            <w:tcBorders>
              <w:left w:val="single" w:color="auto" w:sz="4" w:space="0"/>
              <w:bottom w:val="single" w:color="auto" w:sz="4" w:space="0"/>
            </w:tcBorders>
            <w:vAlign w:val="center"/>
          </w:tcPr>
          <w:p>
            <w:pPr>
              <w:spacing w:line="400" w:lineRule="atLeast"/>
              <w:ind w:right="-105" w:rightChars="-50"/>
              <w:jc w:val="center"/>
              <w:rPr>
                <w:rFonts w:ascii="仿宋" w:hAnsi="仿宋" w:eastAsia="仿宋" w:cs="Times New Roman"/>
                <w:szCs w:val="24"/>
              </w:rPr>
            </w:pPr>
            <w:r>
              <w:rPr>
                <w:rFonts w:hint="eastAsia" w:ascii="仿宋" w:hAnsi="仿宋" w:eastAsia="仿宋" w:cs="Times New Roman"/>
                <w:szCs w:val="24"/>
              </w:rPr>
              <w:t>5</w:t>
            </w:r>
            <w:r>
              <w:rPr>
                <w:rFonts w:ascii="仿宋" w:hAnsi="仿宋" w:eastAsia="仿宋" w:cs="Times New Roman"/>
                <w:szCs w:val="24"/>
              </w:rPr>
              <w:t>.1984</w:t>
            </w:r>
          </w:p>
        </w:tc>
        <w:tc>
          <w:tcPr>
            <w:tcW w:w="1471" w:type="dxa"/>
            <w:tcBorders>
              <w:bottom w:val="single" w:color="auto" w:sz="4" w:space="0"/>
            </w:tcBorders>
            <w:vAlign w:val="center"/>
          </w:tcPr>
          <w:p>
            <w:pPr>
              <w:spacing w:line="400" w:lineRule="atLeast"/>
              <w:ind w:left="-107" w:leftChars="-51" w:right="-105" w:rightChars="-50"/>
              <w:jc w:val="center"/>
              <w:rPr>
                <w:rFonts w:ascii="仿宋" w:hAnsi="仿宋" w:eastAsia="仿宋" w:cs="Times New Roman"/>
                <w:szCs w:val="24"/>
              </w:rPr>
            </w:pPr>
            <w:r>
              <w:rPr>
                <w:rFonts w:ascii="仿宋" w:hAnsi="仿宋" w:eastAsia="仿宋" w:cs="Times New Roman"/>
                <w:szCs w:val="24"/>
              </w:rPr>
              <w:t>7000</w:t>
            </w:r>
          </w:p>
        </w:tc>
        <w:tc>
          <w:tcPr>
            <w:tcW w:w="1471" w:type="dxa"/>
            <w:tcBorders>
              <w:bottom w:val="single" w:color="auto" w:sz="4" w:space="0"/>
            </w:tcBorders>
            <w:vAlign w:val="center"/>
          </w:tcPr>
          <w:p>
            <w:pPr>
              <w:spacing w:line="400" w:lineRule="atLeast"/>
              <w:ind w:left="-107" w:leftChars="-51" w:right="-105" w:rightChars="-50"/>
              <w:jc w:val="center"/>
              <w:rPr>
                <w:rFonts w:ascii="仿宋" w:hAnsi="仿宋" w:eastAsia="仿宋" w:cs="Times New Roman"/>
                <w:szCs w:val="24"/>
              </w:rPr>
            </w:pPr>
            <w:r>
              <w:rPr>
                <w:rFonts w:ascii="仿宋" w:hAnsi="仿宋" w:eastAsia="仿宋" w:cs="Times New Roman"/>
                <w:szCs w:val="24"/>
              </w:rPr>
              <w:t>1400</w:t>
            </w:r>
          </w:p>
        </w:tc>
        <w:tc>
          <w:tcPr>
            <w:tcW w:w="1609" w:type="dxa"/>
            <w:tcBorders>
              <w:bottom w:val="single" w:color="auto" w:sz="4" w:space="0"/>
            </w:tcBorders>
            <w:vAlign w:val="center"/>
          </w:tcPr>
          <w:p>
            <w:pPr>
              <w:spacing w:line="400" w:lineRule="atLeast"/>
              <w:ind w:left="-107" w:leftChars="-51" w:right="-105" w:rightChars="-50"/>
              <w:jc w:val="center"/>
              <w:rPr>
                <w:rFonts w:hint="eastAsia" w:ascii="仿宋" w:hAnsi="仿宋" w:eastAsia="仿宋" w:cs="Times New Roman"/>
                <w:szCs w:val="24"/>
              </w:rPr>
            </w:pPr>
            <w:r>
              <w:rPr>
                <w:rFonts w:ascii="仿宋" w:hAnsi="仿宋" w:eastAsia="仿宋" w:cs="Times New Roman"/>
                <w:szCs w:val="24"/>
              </w:rPr>
              <w:t>10</w:t>
            </w:r>
            <w:r>
              <w:rPr>
                <w:rFonts w:hint="eastAsia" w:ascii="仿宋" w:hAnsi="仿宋" w:eastAsia="仿宋" w:cs="Times New Roman"/>
                <w:szCs w:val="24"/>
              </w:rPr>
              <w:t>万元及</w:t>
            </w:r>
          </w:p>
          <w:p>
            <w:pPr>
              <w:spacing w:line="400" w:lineRule="atLeast"/>
              <w:ind w:left="-107" w:leftChars="-51" w:right="-105" w:rightChars="-50"/>
              <w:jc w:val="center"/>
              <w:rPr>
                <w:rFonts w:hint="eastAsia" w:ascii="仿宋" w:hAnsi="仿宋" w:eastAsia="仿宋" w:cs="Times New Roman"/>
                <w:szCs w:val="24"/>
              </w:rPr>
            </w:pPr>
            <w:r>
              <w:rPr>
                <w:rFonts w:ascii="仿宋" w:hAnsi="仿宋" w:eastAsia="仿宋" w:cs="Times New Roman"/>
                <w:szCs w:val="24"/>
              </w:rPr>
              <w:t>10</w:t>
            </w:r>
            <w:r>
              <w:rPr>
                <w:rFonts w:hint="eastAsia" w:ascii="仿宋" w:hAnsi="仿宋" w:eastAsia="仿宋" w:cs="Times New Roman"/>
                <w:szCs w:val="24"/>
              </w:rPr>
              <w:t>万元的整数倍</w:t>
            </w:r>
          </w:p>
        </w:tc>
      </w:tr>
    </w:tbl>
    <w:p>
      <w:pPr>
        <w:ind w:firstLine="640" w:firstLineChars="200"/>
        <w:rPr>
          <w:rFonts w:ascii="仿宋" w:hAnsi="仿宋" w:eastAsia="仿宋"/>
          <w:sz w:val="32"/>
          <w:szCs w:val="32"/>
        </w:rPr>
      </w:pPr>
      <w:r>
        <w:rPr>
          <w:rFonts w:hint="eastAsia" w:ascii="仿宋" w:hAnsi="仿宋" w:eastAsia="仿宋"/>
          <w:sz w:val="32"/>
          <w:szCs w:val="32"/>
        </w:rPr>
        <w:t>九、挂牌程序</w:t>
      </w:r>
    </w:p>
    <w:p>
      <w:pPr>
        <w:ind w:firstLine="640" w:firstLineChars="200"/>
        <w:rPr>
          <w:rFonts w:ascii="仿宋" w:hAnsi="仿宋" w:eastAsia="仿宋"/>
          <w:sz w:val="32"/>
          <w:szCs w:val="32"/>
        </w:rPr>
      </w:pPr>
      <w:r>
        <w:rPr>
          <w:rFonts w:hint="eastAsia" w:ascii="仿宋" w:hAnsi="仿宋" w:eastAsia="仿宋"/>
          <w:sz w:val="32"/>
          <w:szCs w:val="32"/>
        </w:rPr>
        <w:t>（一）公布挂牌信息</w:t>
      </w:r>
    </w:p>
    <w:p>
      <w:pPr>
        <w:ind w:firstLine="640" w:firstLineChars="200"/>
        <w:rPr>
          <w:rFonts w:ascii="仿宋" w:hAnsi="仿宋" w:eastAsia="仿宋"/>
          <w:sz w:val="32"/>
          <w:szCs w:val="32"/>
        </w:rPr>
      </w:pPr>
      <w:r>
        <w:rPr>
          <w:rFonts w:ascii="仿宋" w:hAnsi="仿宋" w:eastAsia="仿宋"/>
          <w:sz w:val="32"/>
          <w:szCs w:val="32"/>
        </w:rPr>
        <w:t>1．挂牌人将有关宗海的位置、面积、用途、使用年期、规划要求、起始价、增价规则及增价幅度等信息在网络上挂牌公布；</w:t>
      </w:r>
    </w:p>
    <w:p>
      <w:pPr>
        <w:ind w:firstLine="640" w:firstLineChars="200"/>
        <w:rPr>
          <w:rFonts w:ascii="仿宋" w:hAnsi="仿宋" w:eastAsia="仿宋"/>
          <w:sz w:val="32"/>
          <w:szCs w:val="32"/>
        </w:rPr>
      </w:pPr>
      <w:r>
        <w:rPr>
          <w:rFonts w:ascii="仿宋" w:hAnsi="仿宋" w:eastAsia="仿宋"/>
          <w:sz w:val="32"/>
          <w:szCs w:val="32"/>
        </w:rPr>
        <w:t>2．挂牌主持人介绍宗海的情况。</w:t>
      </w:r>
    </w:p>
    <w:p>
      <w:pPr>
        <w:ind w:firstLine="640" w:firstLineChars="200"/>
        <w:rPr>
          <w:rFonts w:ascii="仿宋" w:hAnsi="仿宋" w:eastAsia="仿宋"/>
          <w:sz w:val="32"/>
          <w:szCs w:val="32"/>
        </w:rPr>
      </w:pPr>
      <w:r>
        <w:rPr>
          <w:rFonts w:hint="eastAsia" w:ascii="仿宋" w:hAnsi="仿宋" w:eastAsia="仿宋"/>
          <w:sz w:val="32"/>
          <w:szCs w:val="32"/>
        </w:rPr>
        <w:t>（二）挂牌竞价</w:t>
      </w:r>
    </w:p>
    <w:p>
      <w:pPr>
        <w:ind w:firstLine="640" w:firstLineChars="200"/>
        <w:rPr>
          <w:rFonts w:ascii="仿宋" w:hAnsi="仿宋" w:eastAsia="仿宋"/>
          <w:sz w:val="32"/>
          <w:szCs w:val="32"/>
        </w:rPr>
      </w:pPr>
      <w:r>
        <w:rPr>
          <w:rFonts w:ascii="仿宋" w:hAnsi="仿宋" w:eastAsia="仿宋"/>
          <w:sz w:val="32"/>
          <w:szCs w:val="32"/>
        </w:rPr>
        <w:t>1．挂牌主持人介绍挂牌起始价、增价幅度等竞价规则，宣布挂牌竞价开始；</w:t>
      </w:r>
    </w:p>
    <w:p>
      <w:pPr>
        <w:ind w:firstLine="640" w:firstLineChars="200"/>
        <w:rPr>
          <w:rFonts w:ascii="仿宋" w:hAnsi="仿宋" w:eastAsia="仿宋"/>
          <w:sz w:val="32"/>
          <w:szCs w:val="32"/>
        </w:rPr>
      </w:pPr>
      <w:r>
        <w:rPr>
          <w:rFonts w:ascii="仿宋" w:hAnsi="仿宋" w:eastAsia="仿宋"/>
          <w:sz w:val="32"/>
          <w:szCs w:val="32"/>
        </w:rPr>
        <w:t>2．竞买人填写《挂牌竞买报价单》进行报价；</w:t>
      </w:r>
    </w:p>
    <w:p>
      <w:pPr>
        <w:ind w:firstLine="640" w:firstLineChars="200"/>
        <w:rPr>
          <w:rFonts w:ascii="仿宋" w:hAnsi="仿宋" w:eastAsia="仿宋"/>
          <w:sz w:val="32"/>
          <w:szCs w:val="32"/>
        </w:rPr>
      </w:pPr>
      <w:r>
        <w:rPr>
          <w:rFonts w:ascii="仿宋" w:hAnsi="仿宋" w:eastAsia="仿宋"/>
          <w:sz w:val="32"/>
          <w:szCs w:val="32"/>
        </w:rPr>
        <w:t>3．挂牌主持人收到《挂牌竞买报价单》后，对报价单予以审核，对符合规定的报价予以确认；</w:t>
      </w:r>
    </w:p>
    <w:p>
      <w:pPr>
        <w:ind w:firstLine="640" w:firstLineChars="200"/>
        <w:rPr>
          <w:rFonts w:ascii="仿宋" w:hAnsi="仿宋" w:eastAsia="仿宋"/>
          <w:sz w:val="32"/>
          <w:szCs w:val="32"/>
        </w:rPr>
      </w:pPr>
      <w:r>
        <w:rPr>
          <w:rFonts w:ascii="仿宋" w:hAnsi="仿宋" w:eastAsia="仿宋"/>
          <w:sz w:val="32"/>
          <w:szCs w:val="32"/>
        </w:rPr>
        <w:t>4．挂牌主持人确认该报价后，更新显示挂牌价格，继续接受新的报价。</w:t>
      </w:r>
    </w:p>
    <w:p>
      <w:pPr>
        <w:ind w:firstLine="640" w:firstLineChars="200"/>
        <w:rPr>
          <w:rFonts w:ascii="仿宋" w:hAnsi="仿宋" w:eastAsia="仿宋"/>
          <w:sz w:val="32"/>
          <w:szCs w:val="32"/>
        </w:rPr>
      </w:pPr>
      <w:r>
        <w:rPr>
          <w:rFonts w:hint="eastAsia" w:ascii="仿宋" w:hAnsi="仿宋" w:eastAsia="仿宋"/>
          <w:sz w:val="32"/>
          <w:szCs w:val="32"/>
        </w:rPr>
        <w:t>（三）挂牌截止</w:t>
      </w:r>
    </w:p>
    <w:p>
      <w:pPr>
        <w:ind w:firstLine="640" w:firstLineChars="200"/>
        <w:rPr>
          <w:rFonts w:ascii="仿宋" w:hAnsi="仿宋" w:eastAsia="仿宋"/>
          <w:sz w:val="32"/>
          <w:szCs w:val="32"/>
        </w:rPr>
      </w:pPr>
      <w:r>
        <w:rPr>
          <w:rFonts w:hint="eastAsia" w:ascii="仿宋" w:hAnsi="仿宋" w:eastAsia="仿宋"/>
          <w:sz w:val="32"/>
          <w:szCs w:val="32"/>
        </w:rPr>
        <w:t>挂牌截止应当由挂牌主持人主持确定。在公告规定的挂牌截止时间，竞买人应当出席挂牌现场，挂牌主持人宣布最高报价及其报价者，并询问竞买人是否愿意继续竞价。（本次挂牌不设底价）</w:t>
      </w:r>
    </w:p>
    <w:p>
      <w:pPr>
        <w:ind w:firstLine="640" w:firstLineChars="200"/>
        <w:rPr>
          <w:rFonts w:ascii="仿宋" w:hAnsi="仿宋" w:eastAsia="仿宋"/>
          <w:sz w:val="32"/>
          <w:szCs w:val="32"/>
        </w:rPr>
      </w:pPr>
      <w:r>
        <w:rPr>
          <w:rFonts w:ascii="仿宋" w:hAnsi="仿宋" w:eastAsia="仿宋"/>
          <w:sz w:val="32"/>
          <w:szCs w:val="32"/>
        </w:rPr>
        <w:t xml:space="preserve"> 1．由挂牌主持人在</w:t>
      </w:r>
      <w:r>
        <w:rPr>
          <w:rFonts w:hint="eastAsia" w:ascii="仿宋" w:hAnsi="仿宋" w:eastAsia="仿宋"/>
          <w:sz w:val="32"/>
          <w:szCs w:val="32"/>
          <w:u w:val="single"/>
          <w:lang w:eastAsia="zh-CN"/>
        </w:rPr>
        <w:t>2024年3月5日</w:t>
      </w:r>
      <w:r>
        <w:rPr>
          <w:rFonts w:ascii="仿宋" w:hAnsi="仿宋" w:eastAsia="仿宋"/>
          <w:sz w:val="32"/>
          <w:szCs w:val="32"/>
          <w:u w:val="single"/>
        </w:rPr>
        <w:t>15：00时</w:t>
      </w:r>
      <w:r>
        <w:rPr>
          <w:rFonts w:ascii="仿宋" w:hAnsi="仿宋" w:eastAsia="仿宋"/>
          <w:sz w:val="32"/>
          <w:szCs w:val="32"/>
        </w:rPr>
        <w:t>主持确定挂牌截止。</w:t>
      </w:r>
    </w:p>
    <w:p>
      <w:pPr>
        <w:ind w:firstLine="640" w:firstLineChars="200"/>
        <w:rPr>
          <w:rFonts w:ascii="仿宋" w:hAnsi="仿宋" w:eastAsia="仿宋"/>
          <w:sz w:val="32"/>
          <w:szCs w:val="32"/>
        </w:rPr>
      </w:pPr>
      <w:r>
        <w:rPr>
          <w:rFonts w:ascii="仿宋" w:hAnsi="仿宋" w:eastAsia="仿宋"/>
          <w:sz w:val="32"/>
          <w:szCs w:val="32"/>
        </w:rPr>
        <w:t>2．挂牌主持人宣布最高报价及其报价者，并询问竞买人是否愿意继续竞价。</w:t>
      </w:r>
    </w:p>
    <w:p>
      <w:pPr>
        <w:ind w:firstLine="640" w:firstLineChars="200"/>
        <w:rPr>
          <w:rFonts w:ascii="仿宋" w:hAnsi="仿宋" w:eastAsia="仿宋"/>
          <w:sz w:val="32"/>
          <w:szCs w:val="32"/>
        </w:rPr>
      </w:pPr>
      <w:r>
        <w:rPr>
          <w:rFonts w:ascii="仿宋" w:hAnsi="仿宋" w:eastAsia="仿宋"/>
          <w:sz w:val="32"/>
          <w:szCs w:val="32"/>
        </w:rPr>
        <w:t>3．有竞买人表示愿意继续竞价的，即属于挂牌截止时有两个或两个以上竞买人要求报价的情形，挂牌主持人应当宣布挂牌出让转入现场竞价，并宣布现场竞价的时间和地点，通过现场竞价确定竞得人。</w:t>
      </w:r>
    </w:p>
    <w:p>
      <w:pPr>
        <w:ind w:firstLine="640" w:firstLineChars="200"/>
        <w:rPr>
          <w:rFonts w:ascii="仿宋" w:hAnsi="仿宋" w:eastAsia="仿宋"/>
          <w:sz w:val="32"/>
          <w:szCs w:val="32"/>
        </w:rPr>
      </w:pPr>
      <w:r>
        <w:rPr>
          <w:rFonts w:ascii="仿宋" w:hAnsi="仿宋" w:eastAsia="仿宋"/>
          <w:sz w:val="32"/>
          <w:szCs w:val="32"/>
        </w:rPr>
        <w:t>4．挂牌主持人连续三次报出最高挂牌价格，没有竞买人表示愿意继续竞价的，挂牌主持人宣布挂牌活动结束，并按下列规定确定挂牌结果：</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1）最高挂牌价格高于起始价的，挂牌主持人宣布挂牌成交，最高挂牌价格的出价人为竞得人；</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2）最高挂牌价格低于或等于起始价的，挂牌主持人宣布挂牌不成交。</w:t>
      </w:r>
    </w:p>
    <w:p>
      <w:pPr>
        <w:ind w:firstLine="640" w:firstLineChars="200"/>
        <w:rPr>
          <w:rFonts w:ascii="仿宋" w:hAnsi="仿宋" w:eastAsia="仿宋"/>
          <w:sz w:val="32"/>
          <w:szCs w:val="32"/>
        </w:rPr>
      </w:pPr>
      <w:r>
        <w:rPr>
          <w:rFonts w:hint="eastAsia" w:ascii="仿宋" w:hAnsi="仿宋" w:eastAsia="仿宋"/>
          <w:sz w:val="32"/>
          <w:szCs w:val="32"/>
        </w:rPr>
        <w:t>（四）现场竞价</w:t>
      </w:r>
    </w:p>
    <w:p>
      <w:pPr>
        <w:ind w:firstLine="640" w:firstLineChars="200"/>
        <w:rPr>
          <w:rFonts w:ascii="仿宋" w:hAnsi="仿宋" w:eastAsia="仿宋"/>
          <w:sz w:val="32"/>
          <w:szCs w:val="32"/>
        </w:rPr>
      </w:pPr>
      <w:r>
        <w:rPr>
          <w:rFonts w:hint="eastAsia" w:ascii="仿宋" w:hAnsi="仿宋" w:eastAsia="仿宋"/>
          <w:sz w:val="32"/>
          <w:szCs w:val="32"/>
        </w:rPr>
        <w:t>现场竞价由挂牌主持人主持进行，取得该宗海挂牌竞买资格的竞买人均可参加现场竞价。现场竞价按下列程序举行：</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1）挂牌主持人应当宣布现场竞价的起始价、竞价规则和增价幅度，并宣布现场竞价开始。现场竞价的起始价为挂牌活动截止时的最高报价增加一个加价幅度后的价格。</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2）参加现场竞价的竞买人按照竞价规则应价或报价。</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3）挂牌主持人确认该竞买人应价或者报价后继续竞价。</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4）挂牌主持人连续三次宣布同一应价或报价而没有人再应价或报价，且该价格高于起始价的，挂牌主持人宣布最高应价或报价者为竞得人。最高应价或报价低于或等于起始价的，挂牌主持人宣布现场竞价终止。</w:t>
      </w:r>
    </w:p>
    <w:p>
      <w:pPr>
        <w:ind w:firstLine="640" w:firstLineChars="200"/>
        <w:rPr>
          <w:rFonts w:ascii="仿宋" w:hAnsi="仿宋" w:eastAsia="仿宋"/>
          <w:sz w:val="32"/>
          <w:szCs w:val="32"/>
        </w:rPr>
      </w:pPr>
      <w:r>
        <w:rPr>
          <w:rFonts w:hint="eastAsia" w:ascii="仿宋" w:hAnsi="仿宋" w:eastAsia="仿宋"/>
          <w:sz w:val="32"/>
          <w:szCs w:val="32"/>
        </w:rPr>
        <w:t>在现场竞价中无人参加竞买或无人加价的，以挂牌截止时出价最高者为竞得人，但低于或等于挂牌出让起始价者除外。</w:t>
      </w:r>
    </w:p>
    <w:p>
      <w:pPr>
        <w:ind w:firstLine="640" w:firstLineChars="200"/>
        <w:rPr>
          <w:rFonts w:ascii="仿宋" w:hAnsi="仿宋" w:eastAsia="仿宋"/>
          <w:sz w:val="32"/>
          <w:szCs w:val="32"/>
        </w:rPr>
      </w:pPr>
      <w:r>
        <w:rPr>
          <w:rFonts w:hint="eastAsia" w:ascii="仿宋" w:hAnsi="仿宋" w:eastAsia="仿宋"/>
          <w:sz w:val="32"/>
          <w:szCs w:val="32"/>
        </w:rPr>
        <w:t>（五）签订《成交确认书》</w:t>
      </w:r>
    </w:p>
    <w:p>
      <w:pPr>
        <w:ind w:firstLine="640" w:firstLineChars="200"/>
        <w:rPr>
          <w:rFonts w:ascii="仿宋" w:hAnsi="仿宋" w:eastAsia="仿宋"/>
          <w:sz w:val="32"/>
          <w:szCs w:val="32"/>
        </w:rPr>
      </w:pPr>
      <w:r>
        <w:rPr>
          <w:rFonts w:hint="eastAsia" w:ascii="仿宋" w:hAnsi="仿宋" w:eastAsia="仿宋"/>
          <w:sz w:val="32"/>
          <w:szCs w:val="32"/>
        </w:rPr>
        <w:t>确定竞得人后，挂牌人与竞得人当场签订《成交确认书》。竞得人拒绝签订《成交确认书》也不能对抗挂牌成交结果的法律效力。</w:t>
      </w:r>
    </w:p>
    <w:p>
      <w:pPr>
        <w:ind w:firstLine="640" w:firstLineChars="200"/>
        <w:rPr>
          <w:rFonts w:ascii="仿宋" w:hAnsi="仿宋" w:eastAsia="仿宋"/>
          <w:sz w:val="32"/>
          <w:szCs w:val="32"/>
        </w:rPr>
      </w:pPr>
      <w:r>
        <w:rPr>
          <w:rFonts w:hint="eastAsia" w:ascii="仿宋" w:hAnsi="仿宋" w:eastAsia="仿宋"/>
          <w:sz w:val="32"/>
          <w:szCs w:val="32"/>
        </w:rPr>
        <w:t>（六）签订《海域使用权出让合同》及缴款要求</w:t>
      </w:r>
    </w:p>
    <w:p>
      <w:pPr>
        <w:ind w:firstLine="640" w:firstLineChars="200"/>
        <w:rPr>
          <w:rFonts w:ascii="仿宋" w:hAnsi="仿宋" w:eastAsia="仿宋"/>
          <w:sz w:val="32"/>
          <w:szCs w:val="32"/>
        </w:rPr>
      </w:pPr>
      <w:r>
        <w:rPr>
          <w:rFonts w:hint="eastAsia" w:ascii="仿宋" w:hAnsi="仿宋" w:eastAsia="仿宋"/>
          <w:sz w:val="32"/>
          <w:szCs w:val="32"/>
        </w:rPr>
        <w:t>出让人与竞得人依据《成交确认书》及本《须知》等约定签订《海域使用权出让合同》。</w:t>
      </w:r>
      <w:bookmarkStart w:id="0" w:name="_GoBack"/>
      <w:r>
        <w:rPr>
          <w:rFonts w:hint="eastAsia" w:ascii="仿宋" w:hAnsi="仿宋" w:eastAsia="仿宋"/>
          <w:sz w:val="32"/>
          <w:szCs w:val="32"/>
        </w:rPr>
        <w:t>竞得者签订《成交确认书》起，</w:t>
      </w:r>
      <w:r>
        <w:rPr>
          <w:rFonts w:ascii="仿宋" w:hAnsi="仿宋" w:eastAsia="仿宋"/>
          <w:sz w:val="32"/>
          <w:szCs w:val="32"/>
        </w:rPr>
        <w:t>15个工作日内与龙港市自然资源与规划建设局签订《海域使用权出让合同》；竟得人无故逾期不签订或拒绝签订合同的，出让人将终止供海，并没收竞买保证金；竞得人在签订《海域使用权出让合同》之日起15个工作日内缴清出让宗海总价款，不按时支付出让总价款的，从滞纳之日起每日按支付总价款的1‰缴纳滞纳金；逾期超过30日的，即以放弃论处，出让人将没收竞买保证金。</w:t>
      </w:r>
      <w:bookmarkEnd w:id="0"/>
    </w:p>
    <w:p>
      <w:pPr>
        <w:ind w:firstLine="640" w:firstLineChars="200"/>
        <w:rPr>
          <w:rFonts w:ascii="仿宋" w:hAnsi="仿宋" w:eastAsia="仿宋"/>
          <w:sz w:val="32"/>
          <w:szCs w:val="32"/>
        </w:rPr>
      </w:pPr>
      <w:r>
        <w:rPr>
          <w:rFonts w:hint="eastAsia" w:ascii="仿宋" w:hAnsi="仿宋" w:eastAsia="仿宋"/>
          <w:sz w:val="32"/>
          <w:szCs w:val="32"/>
        </w:rPr>
        <w:t>（七）出让结果公布</w:t>
      </w:r>
    </w:p>
    <w:p>
      <w:pPr>
        <w:ind w:firstLine="640" w:firstLineChars="200"/>
        <w:rPr>
          <w:rFonts w:ascii="仿宋" w:hAnsi="仿宋" w:eastAsia="仿宋"/>
          <w:sz w:val="32"/>
          <w:szCs w:val="32"/>
        </w:rPr>
      </w:pPr>
      <w:r>
        <w:rPr>
          <w:rFonts w:hint="eastAsia" w:ascii="仿宋" w:hAnsi="仿宋" w:eastAsia="仿宋"/>
          <w:sz w:val="32"/>
          <w:szCs w:val="32"/>
        </w:rPr>
        <w:t>龙港市政务服务中心将于本次海域使用权挂牌出让活动结束后</w:t>
      </w:r>
      <w:r>
        <w:rPr>
          <w:rFonts w:ascii="仿宋" w:hAnsi="仿宋" w:eastAsia="仿宋"/>
          <w:sz w:val="32"/>
          <w:szCs w:val="32"/>
        </w:rPr>
        <w:t>3个工作日内，在龙港市政务服务中心网公布本次海域使用权挂牌出让结果。</w:t>
      </w:r>
    </w:p>
    <w:p>
      <w:pPr>
        <w:ind w:firstLine="640" w:firstLineChars="200"/>
        <w:rPr>
          <w:rFonts w:ascii="仿宋" w:hAnsi="仿宋" w:eastAsia="仿宋"/>
          <w:sz w:val="32"/>
          <w:szCs w:val="32"/>
        </w:rPr>
      </w:pPr>
      <w:r>
        <w:rPr>
          <w:rFonts w:hint="eastAsia" w:ascii="仿宋" w:hAnsi="仿宋" w:eastAsia="仿宋"/>
          <w:sz w:val="32"/>
          <w:szCs w:val="32"/>
        </w:rPr>
        <w:t>十、报价规则</w:t>
      </w:r>
    </w:p>
    <w:p>
      <w:pPr>
        <w:ind w:firstLine="640" w:firstLineChars="200"/>
        <w:rPr>
          <w:rFonts w:ascii="仿宋" w:hAnsi="仿宋" w:eastAsia="仿宋"/>
          <w:sz w:val="32"/>
          <w:szCs w:val="32"/>
        </w:rPr>
      </w:pPr>
      <w:r>
        <w:rPr>
          <w:rFonts w:hint="eastAsia" w:ascii="仿宋" w:hAnsi="仿宋" w:eastAsia="仿宋"/>
          <w:sz w:val="32"/>
          <w:szCs w:val="32"/>
        </w:rPr>
        <w:t>（一）本次挂牌以价高者得为原则确定竞得人。</w:t>
      </w:r>
    </w:p>
    <w:p>
      <w:pPr>
        <w:ind w:firstLine="640" w:firstLineChars="200"/>
        <w:rPr>
          <w:rFonts w:ascii="仿宋" w:hAnsi="仿宋" w:eastAsia="仿宋"/>
          <w:sz w:val="32"/>
          <w:szCs w:val="32"/>
        </w:rPr>
      </w:pPr>
      <w:r>
        <w:rPr>
          <w:rFonts w:hint="eastAsia" w:ascii="仿宋" w:hAnsi="仿宋" w:eastAsia="仿宋"/>
          <w:sz w:val="32"/>
          <w:szCs w:val="32"/>
        </w:rPr>
        <w:t>（二）本次挂牌以增价方式进行报价，每次加价幅度不得小于挂牌主持人宣布的增价幅度。</w:t>
      </w:r>
    </w:p>
    <w:p>
      <w:pPr>
        <w:ind w:firstLine="640" w:firstLineChars="200"/>
        <w:rPr>
          <w:rFonts w:ascii="仿宋" w:hAnsi="仿宋" w:eastAsia="仿宋"/>
          <w:sz w:val="32"/>
          <w:szCs w:val="32"/>
        </w:rPr>
      </w:pPr>
      <w:r>
        <w:rPr>
          <w:rFonts w:hint="eastAsia" w:ascii="仿宋" w:hAnsi="仿宋" w:eastAsia="仿宋"/>
          <w:sz w:val="32"/>
          <w:szCs w:val="32"/>
        </w:rPr>
        <w:t>（三）竞买人以填写《挂牌竞买报价单》方式报价，《挂牌竞买报价单》一经报出，不得撤回。</w:t>
      </w:r>
    </w:p>
    <w:p>
      <w:pPr>
        <w:ind w:firstLine="640" w:firstLineChars="200"/>
        <w:rPr>
          <w:rFonts w:ascii="仿宋" w:hAnsi="仿宋" w:eastAsia="仿宋"/>
          <w:sz w:val="32"/>
          <w:szCs w:val="32"/>
        </w:rPr>
      </w:pPr>
      <w:r>
        <w:rPr>
          <w:rFonts w:hint="eastAsia" w:ascii="仿宋" w:hAnsi="仿宋" w:eastAsia="仿宋"/>
          <w:sz w:val="32"/>
          <w:szCs w:val="32"/>
        </w:rPr>
        <w:t>（四）在报价期间，竞买人可多次报价。</w:t>
      </w:r>
    </w:p>
    <w:p>
      <w:pPr>
        <w:ind w:firstLine="640" w:firstLineChars="200"/>
        <w:rPr>
          <w:rFonts w:ascii="仿宋" w:hAnsi="仿宋" w:eastAsia="仿宋"/>
          <w:sz w:val="32"/>
          <w:szCs w:val="32"/>
        </w:rPr>
      </w:pPr>
      <w:r>
        <w:rPr>
          <w:rFonts w:hint="eastAsia" w:ascii="仿宋" w:hAnsi="仿宋" w:eastAsia="仿宋"/>
          <w:sz w:val="32"/>
          <w:szCs w:val="32"/>
        </w:rPr>
        <w:t>（五）竞买人报价有下列情形之一的，为无效报价：</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1）报价单未在挂牌期限内收到的；</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2）不按规定填写报价单的；</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3）报价单填写人与竞买申请文件不符的；</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4）报价不符合报价规则的；</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5）报价不符合挂牌文件规定的其他情形。</w:t>
      </w:r>
    </w:p>
    <w:p>
      <w:pPr>
        <w:ind w:firstLine="640" w:firstLineChars="200"/>
        <w:rPr>
          <w:rFonts w:ascii="仿宋" w:hAnsi="仿宋" w:eastAsia="仿宋"/>
          <w:sz w:val="32"/>
          <w:szCs w:val="32"/>
        </w:rPr>
      </w:pPr>
      <w:r>
        <w:rPr>
          <w:rFonts w:hint="eastAsia" w:ascii="仿宋" w:hAnsi="仿宋" w:eastAsia="仿宋"/>
          <w:sz w:val="32"/>
          <w:szCs w:val="32"/>
        </w:rPr>
        <w:t>（六）有两个或两个以上竞买人报价相同的，确认先提交报价单者为该挂牌价格的出价人。</w:t>
      </w:r>
    </w:p>
    <w:p>
      <w:pPr>
        <w:ind w:firstLine="640" w:firstLineChars="200"/>
        <w:rPr>
          <w:rFonts w:ascii="仿宋" w:hAnsi="仿宋" w:eastAsia="仿宋"/>
          <w:sz w:val="32"/>
          <w:szCs w:val="32"/>
        </w:rPr>
      </w:pPr>
      <w:r>
        <w:rPr>
          <w:rFonts w:hint="eastAsia" w:ascii="仿宋" w:hAnsi="仿宋" w:eastAsia="仿宋"/>
          <w:sz w:val="32"/>
          <w:szCs w:val="32"/>
        </w:rPr>
        <w:t>十一、注意事项</w:t>
      </w:r>
    </w:p>
    <w:p>
      <w:pPr>
        <w:ind w:firstLine="640" w:firstLineChars="200"/>
        <w:rPr>
          <w:rFonts w:ascii="仿宋" w:hAnsi="仿宋" w:eastAsia="仿宋"/>
          <w:sz w:val="32"/>
          <w:szCs w:val="32"/>
        </w:rPr>
      </w:pPr>
      <w:r>
        <w:rPr>
          <w:rFonts w:hint="eastAsia" w:ascii="仿宋" w:hAnsi="仿宋" w:eastAsia="仿宋"/>
          <w:sz w:val="32"/>
          <w:szCs w:val="32"/>
        </w:rPr>
        <w:t>（一）申请人须全面阅读有关挂牌文件，如有疑问可以在挂牌活动开始前</w:t>
      </w:r>
      <w:r>
        <w:rPr>
          <w:rFonts w:ascii="仿宋" w:hAnsi="仿宋" w:eastAsia="仿宋"/>
          <w:sz w:val="32"/>
          <w:szCs w:val="32"/>
        </w:rPr>
        <w:t>3日以前用书面或口头方式向龙港市政务服务中心咨询。申请人可到现场踏勘挂牌出让海域，了解本次出让海域的基本现状和吹填程度。申请一经受理确认后，即视为竞买人对挂牌文件及海域现状无异议并全部接受，并对有关承诺承担法律责任。</w:t>
      </w:r>
    </w:p>
    <w:p>
      <w:pPr>
        <w:ind w:firstLine="640" w:firstLineChars="200"/>
        <w:rPr>
          <w:rFonts w:ascii="仿宋" w:hAnsi="仿宋" w:eastAsia="仿宋"/>
          <w:sz w:val="32"/>
          <w:szCs w:val="32"/>
        </w:rPr>
      </w:pPr>
      <w:r>
        <w:rPr>
          <w:rFonts w:hint="eastAsia" w:ascii="仿宋" w:hAnsi="仿宋" w:eastAsia="仿宋"/>
          <w:sz w:val="32"/>
          <w:szCs w:val="32"/>
        </w:rPr>
        <w:t>（二）申请人竞得海域后，拟成立新公司进行开发建设的，应在申请书中明确新公司的出资构成、成立时间等内容。龙港市自然资源与规划建设局可以根据挂牌出让结果与竞得人签订《海域使用权出让合同》，在竞得人按约定办理完新公司注册登记手续后，再与新公司签订《海域使用权出让合同变更协议》。</w:t>
      </w:r>
    </w:p>
    <w:p>
      <w:pPr>
        <w:ind w:firstLine="640" w:firstLineChars="200"/>
        <w:rPr>
          <w:rFonts w:ascii="仿宋" w:hAnsi="仿宋" w:eastAsia="仿宋"/>
          <w:sz w:val="32"/>
          <w:szCs w:val="32"/>
        </w:rPr>
      </w:pPr>
      <w:r>
        <w:rPr>
          <w:rFonts w:hint="eastAsia" w:ascii="仿宋" w:hAnsi="仿宋" w:eastAsia="仿宋"/>
          <w:sz w:val="32"/>
          <w:szCs w:val="32"/>
        </w:rPr>
        <w:t>（三）竞买报价单一经提交，不可撤回。</w:t>
      </w:r>
    </w:p>
    <w:p>
      <w:pPr>
        <w:ind w:firstLine="640" w:firstLineChars="200"/>
        <w:rPr>
          <w:rFonts w:ascii="仿宋" w:hAnsi="仿宋" w:eastAsia="仿宋"/>
          <w:sz w:val="32"/>
          <w:szCs w:val="32"/>
        </w:rPr>
      </w:pPr>
      <w:r>
        <w:rPr>
          <w:rFonts w:hint="eastAsia" w:ascii="仿宋" w:hAnsi="仿宋" w:eastAsia="仿宋"/>
          <w:sz w:val="32"/>
          <w:szCs w:val="32"/>
        </w:rPr>
        <w:t>（四）确定竞得人后，竞得人在挂牌现场与挂牌人签订《成交确认书》。委托他人代签的，应提交法定代表人亲笔签名并经公证的授权委托书。《成交确认书》对挂牌人和竞得人具有法律效力，挂牌人改变挂牌结果的，或者竞得人放弃竞得宗海的，应当承担法律责任。</w:t>
      </w:r>
    </w:p>
    <w:p>
      <w:pPr>
        <w:ind w:firstLine="640" w:firstLineChars="200"/>
        <w:rPr>
          <w:rFonts w:ascii="仿宋" w:hAnsi="仿宋" w:eastAsia="仿宋"/>
          <w:sz w:val="32"/>
          <w:szCs w:val="32"/>
        </w:rPr>
      </w:pPr>
      <w:r>
        <w:rPr>
          <w:rFonts w:hint="eastAsia" w:ascii="仿宋" w:hAnsi="仿宋" w:eastAsia="仿宋"/>
          <w:sz w:val="32"/>
          <w:szCs w:val="32"/>
        </w:rPr>
        <w:t>（五）有下列情形之一的，挂牌人应当在挂牌开始前终止挂牌活动并通知竞买人：</w:t>
      </w:r>
    </w:p>
    <w:p>
      <w:pPr>
        <w:ind w:firstLine="640" w:firstLineChars="200"/>
        <w:rPr>
          <w:rFonts w:ascii="仿宋" w:hAnsi="仿宋" w:eastAsia="仿宋"/>
          <w:sz w:val="32"/>
          <w:szCs w:val="32"/>
        </w:rPr>
      </w:pPr>
      <w:r>
        <w:rPr>
          <w:rFonts w:ascii="仿宋" w:hAnsi="仿宋" w:eastAsia="仿宋"/>
          <w:sz w:val="32"/>
          <w:szCs w:val="32"/>
        </w:rPr>
        <w:t>1、竞买串通损害国家利益、社会利益或他人合法权益的；</w:t>
      </w:r>
    </w:p>
    <w:p>
      <w:pPr>
        <w:ind w:firstLine="640" w:firstLineChars="200"/>
        <w:rPr>
          <w:rFonts w:ascii="仿宋" w:hAnsi="仿宋" w:eastAsia="仿宋"/>
          <w:sz w:val="32"/>
          <w:szCs w:val="32"/>
        </w:rPr>
      </w:pPr>
      <w:r>
        <w:rPr>
          <w:rFonts w:ascii="仿宋" w:hAnsi="仿宋" w:eastAsia="仿宋"/>
          <w:sz w:val="32"/>
          <w:szCs w:val="32"/>
        </w:rPr>
        <w:t>2、挂牌工作人员私下接触竞买人，足以影响挂牌公正性的；</w:t>
      </w:r>
    </w:p>
    <w:p>
      <w:pPr>
        <w:ind w:firstLine="640" w:firstLineChars="200"/>
        <w:rPr>
          <w:rFonts w:ascii="仿宋" w:hAnsi="仿宋" w:eastAsia="仿宋"/>
          <w:sz w:val="32"/>
          <w:szCs w:val="32"/>
        </w:rPr>
      </w:pPr>
      <w:r>
        <w:rPr>
          <w:rFonts w:ascii="仿宋" w:hAnsi="仿宋" w:eastAsia="仿宋"/>
          <w:sz w:val="32"/>
          <w:szCs w:val="32"/>
        </w:rPr>
        <w:t>3、应当依法终止挂牌活动的其他情形。</w:t>
      </w:r>
    </w:p>
    <w:p>
      <w:pPr>
        <w:ind w:firstLine="640" w:firstLineChars="200"/>
        <w:rPr>
          <w:rFonts w:ascii="仿宋" w:hAnsi="仿宋" w:eastAsia="仿宋"/>
          <w:sz w:val="32"/>
          <w:szCs w:val="32"/>
        </w:rPr>
      </w:pPr>
      <w:r>
        <w:rPr>
          <w:rFonts w:hint="eastAsia" w:ascii="仿宋" w:hAnsi="仿宋" w:eastAsia="仿宋"/>
          <w:sz w:val="32"/>
          <w:szCs w:val="32"/>
        </w:rPr>
        <w:t>（六）竞得人有下列行为之一的，视为违约，挂牌人可取消其竞得人资格，竞买保证金予以没收：</w:t>
      </w:r>
    </w:p>
    <w:p>
      <w:pPr>
        <w:ind w:firstLine="640" w:firstLineChars="200"/>
        <w:rPr>
          <w:rFonts w:ascii="仿宋" w:hAnsi="仿宋" w:eastAsia="仿宋"/>
          <w:sz w:val="32"/>
          <w:szCs w:val="32"/>
        </w:rPr>
      </w:pPr>
      <w:r>
        <w:rPr>
          <w:rFonts w:ascii="仿宋" w:hAnsi="仿宋" w:eastAsia="仿宋"/>
          <w:sz w:val="32"/>
          <w:szCs w:val="32"/>
        </w:rPr>
        <w:t>1、竞得人逾期或拒绝签订《成交确认书》的；</w:t>
      </w:r>
    </w:p>
    <w:p>
      <w:pPr>
        <w:ind w:firstLine="640" w:firstLineChars="200"/>
        <w:rPr>
          <w:rFonts w:ascii="仿宋" w:hAnsi="仿宋" w:eastAsia="仿宋"/>
          <w:sz w:val="32"/>
          <w:szCs w:val="32"/>
        </w:rPr>
      </w:pPr>
      <w:r>
        <w:rPr>
          <w:rFonts w:ascii="仿宋" w:hAnsi="仿宋" w:eastAsia="仿宋"/>
          <w:sz w:val="32"/>
          <w:szCs w:val="32"/>
        </w:rPr>
        <w:t>2、竞得人逾期或拒绝签订《海域使用权出让合同》的。</w:t>
      </w:r>
    </w:p>
    <w:p>
      <w:pPr>
        <w:ind w:firstLine="640" w:firstLineChars="200"/>
        <w:rPr>
          <w:rFonts w:ascii="仿宋" w:hAnsi="仿宋" w:eastAsia="仿宋"/>
          <w:sz w:val="32"/>
          <w:szCs w:val="32"/>
        </w:rPr>
      </w:pPr>
      <w:r>
        <w:rPr>
          <w:rFonts w:hint="eastAsia" w:ascii="仿宋" w:hAnsi="仿宋" w:eastAsia="仿宋"/>
          <w:sz w:val="32"/>
          <w:szCs w:val="32"/>
        </w:rPr>
        <w:t>（七）每宗海填海范围以宗海界址图四至为准，项目实际用地面积和经济指标以规划红线图及规划设计条件和要求为准。</w:t>
      </w:r>
    </w:p>
    <w:p>
      <w:pPr>
        <w:ind w:firstLine="640" w:firstLineChars="200"/>
        <w:rPr>
          <w:rFonts w:ascii="仿宋" w:hAnsi="仿宋" w:eastAsia="仿宋"/>
          <w:sz w:val="32"/>
          <w:szCs w:val="32"/>
        </w:rPr>
      </w:pPr>
      <w:r>
        <w:rPr>
          <w:rFonts w:hint="eastAsia" w:ascii="仿宋" w:hAnsi="仿宋" w:eastAsia="仿宋"/>
          <w:sz w:val="32"/>
          <w:szCs w:val="32"/>
        </w:rPr>
        <w:t>（八）挂牌成交价即为该幅宗海的总价款，包括海域使用金、前期开发利用费及海洋生态补偿费等组成；不包括基础设施建设费、填方费、环境影响评价论证费、海域交易服务费及在办理不动产证过程中发生的有关其他税费（契税等）。海域使用权证换取国有土地使用权证，不再收取土地使用权出让金。</w:t>
      </w:r>
    </w:p>
    <w:p>
      <w:pPr>
        <w:ind w:firstLine="640" w:firstLineChars="200"/>
        <w:rPr>
          <w:rFonts w:ascii="仿宋" w:hAnsi="仿宋" w:eastAsia="仿宋"/>
          <w:sz w:val="32"/>
          <w:szCs w:val="32"/>
        </w:rPr>
      </w:pPr>
      <w:r>
        <w:rPr>
          <w:rFonts w:hint="eastAsia" w:ascii="仿宋" w:hAnsi="仿宋" w:eastAsia="仿宋"/>
          <w:sz w:val="32"/>
          <w:szCs w:val="32"/>
        </w:rPr>
        <w:t>（九）竞得人与出让人签订《海域使用权出让合同》后，应当按出让合同约定支付挂牌成交价款，并持本合同和出让价款缴纳凭证等相关证明材料，依法申请办理海域不动产权登记，领取海域不动产权证。项目经环评核准后，方可开工建设。</w:t>
      </w:r>
    </w:p>
    <w:p>
      <w:pPr>
        <w:ind w:firstLine="640" w:firstLineChars="200"/>
        <w:rPr>
          <w:rFonts w:ascii="仿宋" w:hAnsi="仿宋" w:eastAsia="仿宋"/>
          <w:sz w:val="32"/>
          <w:szCs w:val="32"/>
        </w:rPr>
      </w:pPr>
      <w:r>
        <w:rPr>
          <w:rFonts w:hint="eastAsia" w:ascii="仿宋" w:hAnsi="仿宋" w:eastAsia="仿宋"/>
          <w:sz w:val="32"/>
          <w:szCs w:val="32"/>
        </w:rPr>
        <w:t>（十）竞得人应遵守出让合同的各项约定，否则要按出让合同的约定承担相应的违约责任。</w:t>
      </w:r>
    </w:p>
    <w:p>
      <w:pPr>
        <w:ind w:firstLine="640" w:firstLineChars="200"/>
        <w:rPr>
          <w:rFonts w:ascii="仿宋" w:hAnsi="仿宋" w:eastAsia="仿宋"/>
          <w:sz w:val="32"/>
          <w:szCs w:val="32"/>
        </w:rPr>
      </w:pPr>
      <w:r>
        <w:rPr>
          <w:rFonts w:hint="eastAsia" w:ascii="仿宋" w:hAnsi="仿宋" w:eastAsia="仿宋"/>
          <w:sz w:val="32"/>
          <w:szCs w:val="32"/>
        </w:rPr>
        <w:t>（十一）填海项目竣工海域使用验收是指填海项目竣工后，自然资源部门对受让人实际填海界址和面积、执行国家有关技术标准规范、落实海域使用管理要求等事项进行的全面检查验收。受让人应当自填海项目竣工之日起</w:t>
      </w:r>
      <w:r>
        <w:rPr>
          <w:rFonts w:ascii="仿宋" w:hAnsi="仿宋" w:eastAsia="仿宋"/>
          <w:sz w:val="32"/>
          <w:szCs w:val="32"/>
        </w:rPr>
        <w:t>30日内，向当地自然资源部门提出竣工验收申请，并提交相关材料。</w:t>
      </w:r>
    </w:p>
    <w:p>
      <w:pPr>
        <w:ind w:firstLine="640" w:firstLineChars="200"/>
        <w:rPr>
          <w:rFonts w:ascii="仿宋" w:hAnsi="仿宋" w:eastAsia="仿宋"/>
          <w:sz w:val="32"/>
          <w:szCs w:val="32"/>
        </w:rPr>
      </w:pPr>
      <w:r>
        <w:rPr>
          <w:rFonts w:hint="eastAsia" w:ascii="仿宋" w:hAnsi="仿宋" w:eastAsia="仿宋"/>
          <w:sz w:val="32"/>
          <w:szCs w:val="32"/>
        </w:rPr>
        <w:t>（十二）</w:t>
      </w:r>
      <w:r>
        <w:rPr>
          <w:rFonts w:ascii="仿宋" w:hAnsi="仿宋" w:eastAsia="仿宋"/>
          <w:sz w:val="32"/>
          <w:szCs w:val="32"/>
        </w:rPr>
        <w:t xml:space="preserve"> 用海项目依法需要凭国有土地使用权证书办理建设工程的规划许可、施工许可、房屋产权登记等手续的，海域使用权人可以凭海域使用权证书办理；但是，实施填海项目形成的土地上的房屋产权登记按照国家有关规定执行。</w:t>
      </w:r>
    </w:p>
    <w:p>
      <w:pPr>
        <w:ind w:firstLine="640" w:firstLineChars="200"/>
        <w:rPr>
          <w:rFonts w:ascii="仿宋" w:hAnsi="仿宋" w:eastAsia="仿宋"/>
          <w:sz w:val="32"/>
          <w:szCs w:val="32"/>
        </w:rPr>
      </w:pPr>
      <w:r>
        <w:rPr>
          <w:rFonts w:hint="eastAsia" w:ascii="仿宋" w:hAnsi="仿宋" w:eastAsia="仿宋"/>
          <w:sz w:val="32"/>
          <w:szCs w:val="32"/>
        </w:rPr>
        <w:t>（十三）挂牌不成交的，应当按规定由龙港市自然资源与规划建设局重新组织出让。</w:t>
      </w:r>
    </w:p>
    <w:p>
      <w:pPr>
        <w:ind w:firstLine="640" w:firstLineChars="200"/>
        <w:rPr>
          <w:rFonts w:ascii="仿宋" w:hAnsi="仿宋" w:eastAsia="仿宋"/>
          <w:sz w:val="32"/>
          <w:szCs w:val="32"/>
        </w:rPr>
      </w:pPr>
      <w:r>
        <w:rPr>
          <w:rFonts w:hint="eastAsia" w:ascii="仿宋" w:hAnsi="仿宋" w:eastAsia="仿宋"/>
          <w:sz w:val="32"/>
          <w:szCs w:val="32"/>
        </w:rPr>
        <w:t>（十四）参加挂牌活动的人员，应遵守现场的纪律，服从管理人员的管理。</w:t>
      </w:r>
    </w:p>
    <w:p>
      <w:pPr>
        <w:ind w:firstLine="640" w:firstLineChars="200"/>
        <w:rPr>
          <w:rFonts w:ascii="仿宋" w:hAnsi="仿宋" w:eastAsia="仿宋"/>
          <w:sz w:val="32"/>
          <w:szCs w:val="32"/>
        </w:rPr>
      </w:pPr>
      <w:r>
        <w:rPr>
          <w:rFonts w:hint="eastAsia" w:ascii="仿宋" w:hAnsi="仿宋" w:eastAsia="仿宋"/>
          <w:sz w:val="32"/>
          <w:szCs w:val="32"/>
        </w:rPr>
        <w:t>（十五）竞得人应承担的有关义务：</w:t>
      </w:r>
      <w:r>
        <w:rPr>
          <w:rFonts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1、地块开发涉及公建配套项目及小区配套、绿化带等建设工程，竞得人必须按规定无偿负担建设，不得销售转让。</w:t>
      </w:r>
    </w:p>
    <w:p>
      <w:pPr>
        <w:ind w:firstLine="640" w:firstLineChars="200"/>
        <w:rPr>
          <w:rFonts w:ascii="仿宋" w:hAnsi="仿宋" w:eastAsia="仿宋"/>
          <w:sz w:val="32"/>
          <w:szCs w:val="32"/>
        </w:rPr>
      </w:pPr>
      <w:r>
        <w:rPr>
          <w:rFonts w:ascii="仿宋" w:hAnsi="仿宋" w:eastAsia="仿宋"/>
          <w:sz w:val="32"/>
          <w:szCs w:val="32"/>
        </w:rPr>
        <w:t>2、地块开发需缴纳的邮电、消防等零星配套费均由竞得人自行向有关部门缴纳。</w:t>
      </w:r>
    </w:p>
    <w:p>
      <w:pPr>
        <w:ind w:firstLine="640" w:firstLineChars="200"/>
        <w:rPr>
          <w:rFonts w:ascii="仿宋" w:hAnsi="仿宋" w:eastAsia="仿宋"/>
          <w:sz w:val="32"/>
          <w:szCs w:val="32"/>
        </w:rPr>
      </w:pPr>
      <w:r>
        <w:rPr>
          <w:rFonts w:ascii="仿宋" w:hAnsi="仿宋" w:eastAsia="仿宋"/>
          <w:sz w:val="32"/>
          <w:szCs w:val="32"/>
        </w:rPr>
        <w:t>3、出让地价款是根据开发规模而定的，如规划部门需要调整规划或其它原因而影响其用地面积但不影响开发指标的，则地价款不变。</w:t>
      </w:r>
    </w:p>
    <w:p>
      <w:pPr>
        <w:ind w:firstLine="640" w:firstLineChars="200"/>
        <w:rPr>
          <w:rFonts w:ascii="仿宋" w:hAnsi="仿宋" w:eastAsia="仿宋"/>
          <w:sz w:val="32"/>
          <w:szCs w:val="32"/>
        </w:rPr>
      </w:pPr>
      <w:r>
        <w:rPr>
          <w:rFonts w:ascii="仿宋" w:hAnsi="仿宋" w:eastAsia="仿宋"/>
          <w:sz w:val="32"/>
          <w:szCs w:val="32"/>
        </w:rPr>
        <w:t>4、竞得人应全面了解有关围填海地质情况，在项目建设过程中或建成投产后存在的由于地质沉陷等因素而造成的不利结果，由竞得人自行承担。</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（十六）缴交保证金有关事项：竞买人在报名前必须将保证金存入</w:t>
      </w:r>
      <w:r>
        <w:rPr>
          <w:rFonts w:hint="eastAsia" w:ascii="仿宋" w:hAnsi="仿宋" w:eastAsia="仿宋" w:cs="Times New Roman"/>
          <w:sz w:val="32"/>
          <w:szCs w:val="32"/>
          <w:u w:val="single"/>
        </w:rPr>
        <w:t>龙港市自然资源与规划建设局土地出让金保证金专户</w:t>
      </w:r>
      <w:r>
        <w:rPr>
          <w:rFonts w:hint="eastAsia" w:ascii="仿宋" w:hAnsi="仿宋" w:eastAsia="仿宋" w:cs="Times New Roman"/>
          <w:sz w:val="32"/>
          <w:szCs w:val="32"/>
        </w:rPr>
        <w:t>：</w:t>
      </w:r>
    </w:p>
    <w:p>
      <w:pPr>
        <w:ind w:firstLine="640" w:firstLineChars="200"/>
        <w:rPr>
          <w:rFonts w:ascii="仿宋" w:hAnsi="仿宋" w:eastAsia="仿宋" w:cs="Times New Roman"/>
          <w:sz w:val="32"/>
          <w:szCs w:val="32"/>
          <w:u w:val="single"/>
        </w:rPr>
      </w:pPr>
      <w:r>
        <w:rPr>
          <w:rFonts w:hint="eastAsia" w:ascii="仿宋" w:hAnsi="仿宋" w:eastAsia="仿宋" w:cs="Times New Roman"/>
          <w:sz w:val="32"/>
          <w:szCs w:val="32"/>
          <w:u w:val="single"/>
        </w:rPr>
        <w:t>开户单位：</w:t>
      </w:r>
      <w:r>
        <w:rPr>
          <w:rFonts w:ascii="仿宋" w:hAnsi="仿宋" w:eastAsia="仿宋" w:cs="Times New Roman"/>
          <w:sz w:val="32"/>
          <w:szCs w:val="32"/>
          <w:u w:val="single"/>
        </w:rPr>
        <w:t xml:space="preserve"> </w:t>
      </w:r>
      <w:r>
        <w:rPr>
          <w:rFonts w:hint="eastAsia" w:ascii="仿宋" w:hAnsi="仿宋" w:eastAsia="仿宋" w:cs="Times New Roman"/>
          <w:sz w:val="32"/>
          <w:szCs w:val="32"/>
          <w:u w:val="single"/>
        </w:rPr>
        <w:t>龙港市自然资源与规划建设局土地出让金保证金专户</w:t>
      </w:r>
      <w:r>
        <w:rPr>
          <w:rFonts w:ascii="仿宋" w:hAnsi="仿宋" w:eastAsia="仿宋" w:cs="Times New Roman"/>
          <w:sz w:val="32"/>
          <w:szCs w:val="32"/>
          <w:u w:val="single"/>
        </w:rPr>
        <w:t xml:space="preserve"> </w:t>
      </w:r>
    </w:p>
    <w:p>
      <w:pPr>
        <w:ind w:right="960" w:firstLine="640" w:firstLineChars="200"/>
        <w:rPr>
          <w:rFonts w:ascii="仿宋" w:hAnsi="仿宋" w:eastAsia="仿宋" w:cs="Times New Roman"/>
          <w:sz w:val="32"/>
          <w:szCs w:val="32"/>
          <w:u w:val="single"/>
        </w:rPr>
      </w:pPr>
      <w:r>
        <w:rPr>
          <w:rFonts w:hint="eastAsia" w:ascii="仿宋" w:hAnsi="仿宋" w:eastAsia="仿宋" w:cs="Times New Roman"/>
          <w:sz w:val="32"/>
          <w:szCs w:val="32"/>
          <w:u w:val="single"/>
        </w:rPr>
        <w:t>开</w:t>
      </w:r>
      <w:r>
        <w:rPr>
          <w:rFonts w:ascii="仿宋" w:hAnsi="仿宋" w:eastAsia="仿宋" w:cs="Times New Roman"/>
          <w:sz w:val="32"/>
          <w:szCs w:val="32"/>
          <w:u w:val="single"/>
        </w:rPr>
        <w:t xml:space="preserve"> </w:t>
      </w:r>
      <w:r>
        <w:rPr>
          <w:rFonts w:hint="eastAsia" w:ascii="仿宋" w:hAnsi="仿宋" w:eastAsia="仿宋" w:cs="Times New Roman"/>
          <w:sz w:val="32"/>
          <w:szCs w:val="32"/>
          <w:u w:val="single"/>
        </w:rPr>
        <w:t>户</w:t>
      </w:r>
      <w:r>
        <w:rPr>
          <w:rFonts w:ascii="仿宋" w:hAnsi="仿宋" w:eastAsia="仿宋" w:cs="Times New Roman"/>
          <w:sz w:val="32"/>
          <w:szCs w:val="32"/>
          <w:u w:val="single"/>
        </w:rPr>
        <w:t xml:space="preserve"> </w:t>
      </w:r>
      <w:r>
        <w:rPr>
          <w:rFonts w:hint="eastAsia" w:ascii="仿宋" w:hAnsi="仿宋" w:eastAsia="仿宋" w:cs="Times New Roman"/>
          <w:sz w:val="32"/>
          <w:szCs w:val="32"/>
          <w:u w:val="single"/>
        </w:rPr>
        <w:t xml:space="preserve">行： </w:t>
      </w:r>
      <w:r>
        <w:rPr>
          <w:rFonts w:ascii="仿宋" w:hAnsi="仿宋" w:eastAsia="仿宋" w:cs="Times New Roman"/>
          <w:sz w:val="32"/>
          <w:szCs w:val="32"/>
          <w:u w:val="single"/>
        </w:rPr>
        <w:t xml:space="preserve">  </w:t>
      </w:r>
      <w:r>
        <w:rPr>
          <w:rFonts w:hint="eastAsia" w:ascii="仿宋" w:hAnsi="仿宋" w:eastAsia="仿宋" w:cs="Times New Roman"/>
          <w:sz w:val="32"/>
          <w:szCs w:val="32"/>
          <w:u w:val="single"/>
        </w:rPr>
        <w:t xml:space="preserve">龙港农村商业银行                     </w:t>
      </w:r>
    </w:p>
    <w:p>
      <w:pPr>
        <w:ind w:right="960" w:firstLine="640" w:firstLineChars="200"/>
        <w:rPr>
          <w:rFonts w:hint="eastAsia" w:ascii="仿宋" w:hAnsi="仿宋" w:eastAsia="仿宋" w:cs="Times New Roman"/>
          <w:sz w:val="32"/>
          <w:szCs w:val="32"/>
          <w:u w:val="single"/>
        </w:rPr>
      </w:pPr>
      <w:r>
        <w:rPr>
          <w:rFonts w:hint="eastAsia" w:ascii="仿宋" w:hAnsi="仿宋" w:eastAsia="仿宋" w:cs="Times New Roman"/>
          <w:sz w:val="32"/>
          <w:szCs w:val="32"/>
          <w:u w:val="single"/>
        </w:rPr>
        <w:t>账</w:t>
      </w:r>
      <w:r>
        <w:rPr>
          <w:rFonts w:ascii="仿宋" w:hAnsi="仿宋" w:eastAsia="仿宋" w:cs="Times New Roman"/>
          <w:sz w:val="32"/>
          <w:szCs w:val="32"/>
          <w:u w:val="single"/>
        </w:rPr>
        <w:t xml:space="preserve">    </w:t>
      </w:r>
      <w:r>
        <w:rPr>
          <w:rFonts w:hint="eastAsia" w:ascii="仿宋" w:hAnsi="仿宋" w:eastAsia="仿宋" w:cs="Times New Roman"/>
          <w:sz w:val="32"/>
          <w:szCs w:val="32"/>
          <w:u w:val="single"/>
        </w:rPr>
        <w:t xml:space="preserve">号： </w:t>
      </w:r>
      <w:r>
        <w:rPr>
          <w:rFonts w:ascii="仿宋" w:hAnsi="仿宋" w:eastAsia="仿宋" w:cs="Times New Roman"/>
          <w:sz w:val="32"/>
          <w:szCs w:val="32"/>
          <w:u w:val="single"/>
        </w:rPr>
        <w:t xml:space="preserve"> </w:t>
      </w:r>
      <w:r>
        <w:rPr>
          <w:rFonts w:hint="eastAsia" w:ascii="仿宋" w:hAnsi="仿宋" w:eastAsia="仿宋" w:cs="Times New Roman"/>
          <w:sz w:val="32"/>
          <w:szCs w:val="32"/>
          <w:u w:val="single"/>
        </w:rPr>
        <w:t xml:space="preserve">  201000317713249                     </w:t>
      </w:r>
    </w:p>
    <w:p>
      <w:pPr>
        <w:ind w:firstLine="640" w:firstLineChars="200"/>
        <w:rPr>
          <w:rFonts w:ascii="仿宋" w:hAnsi="仿宋" w:eastAsia="仿宋"/>
          <w:sz w:val="32"/>
          <w:szCs w:val="32"/>
        </w:rPr>
      </w:pPr>
      <w:r>
        <w:rPr>
          <w:rFonts w:hint="eastAsia" w:ascii="仿宋" w:hAnsi="仿宋" w:eastAsia="仿宋"/>
          <w:sz w:val="32"/>
          <w:szCs w:val="32"/>
        </w:rPr>
        <w:t>（十七）龙港市自然资源与规划建设局对本《须知》有解释权。未尽事宜依照《浙江省招标拍卖挂牌出让海域使用权管理暂行办法》及国家相关法律、法规执行。</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3840" w:firstLineChars="1200"/>
        <w:rPr>
          <w:rFonts w:ascii="仿宋" w:hAnsi="仿宋" w:eastAsia="仿宋"/>
          <w:sz w:val="32"/>
          <w:szCs w:val="32"/>
        </w:rPr>
      </w:pPr>
      <w:r>
        <w:rPr>
          <w:rFonts w:hint="eastAsia" w:ascii="仿宋" w:hAnsi="仿宋" w:eastAsia="仿宋"/>
          <w:sz w:val="32"/>
          <w:szCs w:val="32"/>
        </w:rPr>
        <w:t>龙港市自然资源与规划建设局</w:t>
      </w:r>
    </w:p>
    <w:p>
      <w:pPr>
        <w:ind w:firstLine="4480" w:firstLineChars="1400"/>
        <w:rPr>
          <w:rFonts w:ascii="仿宋" w:hAnsi="仿宋" w:eastAsia="仿宋"/>
          <w:sz w:val="32"/>
          <w:szCs w:val="32"/>
        </w:rPr>
      </w:pPr>
      <w:r>
        <w:rPr>
          <w:rFonts w:hint="eastAsia" w:ascii="仿宋" w:hAnsi="仿宋" w:eastAsia="仿宋"/>
          <w:sz w:val="32"/>
          <w:szCs w:val="32"/>
        </w:rPr>
        <w:t>龙港市政务服务中心</w:t>
      </w:r>
      <w:r>
        <w:rPr>
          <w:rFonts w:ascii="仿宋" w:hAnsi="仿宋" w:eastAsia="仿宋"/>
          <w:sz w:val="32"/>
          <w:szCs w:val="32"/>
        </w:rPr>
        <w:t xml:space="preserve"> </w:t>
      </w:r>
    </w:p>
    <w:p>
      <w:pPr>
        <w:ind w:firstLine="4800" w:firstLineChars="1500"/>
        <w:rPr>
          <w:rFonts w:hint="eastAsia" w:ascii="仿宋" w:hAnsi="仿宋" w:eastAsia="仿宋"/>
          <w:sz w:val="32"/>
          <w:szCs w:val="32"/>
          <w:u w:val="single"/>
          <w:lang w:eastAsia="zh-CN"/>
        </w:rPr>
      </w:pPr>
      <w:r>
        <w:rPr>
          <w:rFonts w:hint="eastAsia" w:ascii="仿宋" w:hAnsi="仿宋" w:eastAsia="仿宋"/>
          <w:sz w:val="32"/>
          <w:szCs w:val="32"/>
          <w:u w:val="single"/>
          <w:lang w:eastAsia="zh-CN"/>
        </w:rPr>
        <w:t>2024年1月30日</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9746841"/>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D2F"/>
    <w:rsid w:val="001B6618"/>
    <w:rsid w:val="001C1C46"/>
    <w:rsid w:val="00200ACA"/>
    <w:rsid w:val="003B5855"/>
    <w:rsid w:val="00416675"/>
    <w:rsid w:val="008172AF"/>
    <w:rsid w:val="00917D2F"/>
    <w:rsid w:val="00924718"/>
    <w:rsid w:val="00AA59D5"/>
    <w:rsid w:val="00AC274F"/>
    <w:rsid w:val="00BF2F25"/>
    <w:rsid w:val="00C610F7"/>
    <w:rsid w:val="00CA7A7E"/>
    <w:rsid w:val="00FF6FCE"/>
    <w:rsid w:val="38644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845</Words>
  <Characters>4822</Characters>
  <Lines>40</Lines>
  <Paragraphs>11</Paragraphs>
  <TotalTime>70</TotalTime>
  <ScaleCrop>false</ScaleCrop>
  <LinksUpToDate>false</LinksUpToDate>
  <CharactersWithSpaces>5656</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2024-01-28T10:32:00Z</dcterms:created>
  <dc:creator>zusuo you</dc:creator>
  <cp:lastModifiedBy>Administrator</cp:lastModifiedBy>
  <dcterms:modified xsi:type="dcterms:W3CDTF">2024-01-30T02:06:07Z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AD293B63AC314855A354462193D23F72</vt:lpwstr>
  </property>
</Properties>
</file>