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CF14A">
      <w:pPr>
        <w:spacing w:line="440" w:lineRule="exact"/>
        <w:jc w:val="center"/>
        <w:rPr>
          <w:rFonts w:ascii="黑体" w:hAnsi="黑体" w:eastAsia="黑体" w:cs="黑体"/>
          <w:b/>
          <w:sz w:val="30"/>
          <w:szCs w:val="30"/>
        </w:rPr>
      </w:pPr>
      <w:r>
        <w:rPr>
          <w:rFonts w:ascii="黑体" w:hAnsi="黑体" w:eastAsia="黑体" w:cs="黑体"/>
          <w:b/>
          <w:sz w:val="30"/>
          <w:szCs w:val="30"/>
        </w:rPr>
        <w:t>龙港市人民医院（温州医科大学附属第一医院龙港院区）</w:t>
      </w:r>
    </w:p>
    <w:p w14:paraId="738252D3">
      <w:pPr>
        <w:spacing w:line="440" w:lineRule="exact"/>
        <w:jc w:val="center"/>
        <w:rPr>
          <w:rFonts w:ascii="黑体" w:hAnsi="黑体" w:eastAsia="黑体" w:cs="黑体"/>
          <w:b/>
          <w:sz w:val="30"/>
          <w:szCs w:val="30"/>
        </w:rPr>
      </w:pPr>
      <w:bookmarkStart w:id="0" w:name="_GoBack"/>
      <w:r>
        <w:rPr>
          <w:rFonts w:hint="eastAsia" w:ascii="黑体" w:hAnsi="黑体" w:eastAsia="黑体" w:cs="黑体"/>
          <w:b/>
          <w:sz w:val="30"/>
          <w:szCs w:val="30"/>
        </w:rPr>
        <w:t>部分商业网点招租公告</w:t>
      </w:r>
    </w:p>
    <w:bookmarkEnd w:id="0"/>
    <w:p w14:paraId="00999827">
      <w:pPr>
        <w:spacing w:afterLines="50" w:line="440" w:lineRule="exact"/>
        <w:jc w:val="center"/>
        <w:rPr>
          <w:rFonts w:ascii="黑体" w:hAnsi="黑体" w:eastAsia="黑体" w:cs="黑体"/>
          <w:b/>
          <w:sz w:val="22"/>
        </w:rPr>
      </w:pPr>
      <w:r>
        <w:rPr>
          <w:rFonts w:hint="eastAsia" w:ascii="宋体" w:hAnsi="宋体" w:cs="宋体"/>
          <w:sz w:val="22"/>
          <w:shd w:val="clear" w:color="auto" w:fill="FFFFFF"/>
        </w:rPr>
        <w:t>龙产告字[2025]01号</w:t>
      </w:r>
    </w:p>
    <w:p w14:paraId="788FB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定于2025年4月3日15时，在龙港市世纪大道4518号龙港市政务客厅四楼龙港市公共资源交易中心将龙港市人民医院（温州医科大学附属第一医院龙港院区）部分商业超市、食堂等网点经营权以拍卖方式进行公开出租，现将有关事项公告如下：</w:t>
      </w:r>
    </w:p>
    <w:p w14:paraId="4E0669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一、承包经营权经营点详情如下：</w:t>
      </w:r>
    </w:p>
    <w:tbl>
      <w:tblPr>
        <w:tblStyle w:val="6"/>
        <w:tblW w:w="10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2035"/>
        <w:gridCol w:w="686"/>
        <w:gridCol w:w="900"/>
        <w:gridCol w:w="885"/>
        <w:gridCol w:w="900"/>
        <w:gridCol w:w="4759"/>
      </w:tblGrid>
      <w:tr w14:paraId="67A0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91" w:type="dxa"/>
            <w:noWrap/>
            <w:vAlign w:val="center"/>
          </w:tcPr>
          <w:p w14:paraId="05027F77">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2035" w:type="dxa"/>
            <w:noWrap/>
            <w:vAlign w:val="center"/>
          </w:tcPr>
          <w:p w14:paraId="217161ED">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经营点位置及业态</w:t>
            </w:r>
          </w:p>
        </w:tc>
        <w:tc>
          <w:tcPr>
            <w:tcW w:w="686" w:type="dxa"/>
            <w:noWrap/>
            <w:vAlign w:val="center"/>
          </w:tcPr>
          <w:p w14:paraId="694CCAAB">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租期</w:t>
            </w:r>
          </w:p>
          <w:p w14:paraId="1D1F1986">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(年)</w:t>
            </w:r>
          </w:p>
        </w:tc>
        <w:tc>
          <w:tcPr>
            <w:tcW w:w="900" w:type="dxa"/>
            <w:noWrap/>
            <w:vAlign w:val="center"/>
          </w:tcPr>
          <w:p w14:paraId="572EAB4C">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面积</w:t>
            </w:r>
          </w:p>
          <w:p w14:paraId="40FF7661">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w:t>
            </w:r>
          </w:p>
        </w:tc>
        <w:tc>
          <w:tcPr>
            <w:tcW w:w="885" w:type="dxa"/>
            <w:noWrap/>
            <w:vAlign w:val="center"/>
          </w:tcPr>
          <w:p w14:paraId="088FD47A">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年租金</w:t>
            </w:r>
          </w:p>
          <w:p w14:paraId="6F759C4C">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起始价</w:t>
            </w:r>
          </w:p>
          <w:p w14:paraId="5DE84BAF">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（元）</w:t>
            </w:r>
          </w:p>
        </w:tc>
        <w:tc>
          <w:tcPr>
            <w:tcW w:w="900" w:type="dxa"/>
            <w:noWrap/>
            <w:vAlign w:val="center"/>
          </w:tcPr>
          <w:p w14:paraId="0ABED8F5">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竞买</w:t>
            </w:r>
          </w:p>
          <w:p w14:paraId="47613552">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保证金</w:t>
            </w:r>
          </w:p>
          <w:p w14:paraId="3DA94DB3">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（元）</w:t>
            </w:r>
          </w:p>
        </w:tc>
        <w:tc>
          <w:tcPr>
            <w:tcW w:w="4759" w:type="dxa"/>
            <w:noWrap/>
            <w:vAlign w:val="center"/>
          </w:tcPr>
          <w:p w14:paraId="1A02920A">
            <w:pPr>
              <w:widowControl/>
              <w:adjustRightInd w:val="0"/>
              <w:snapToGrid w:val="0"/>
              <w:spacing w:line="240" w:lineRule="auto"/>
              <w:jc w:val="center"/>
              <w:rPr>
                <w:rFonts w:hint="eastAsia" w:ascii="宋体" w:hAnsi="宋体" w:eastAsia="宋体" w:cs="宋体"/>
                <w:b/>
                <w:bCs/>
                <w:szCs w:val="21"/>
              </w:rPr>
            </w:pPr>
            <w:r>
              <w:rPr>
                <w:rFonts w:hint="eastAsia" w:ascii="宋体" w:hAnsi="宋体" w:eastAsia="宋体" w:cs="宋体"/>
                <w:b/>
                <w:bCs/>
                <w:szCs w:val="21"/>
              </w:rPr>
              <w:t>竞买资格要求</w:t>
            </w:r>
          </w:p>
        </w:tc>
      </w:tr>
      <w:tr w14:paraId="05E5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1" w:type="dxa"/>
            <w:vMerge w:val="restart"/>
            <w:noWrap/>
            <w:vAlign w:val="center"/>
          </w:tcPr>
          <w:p w14:paraId="6F7225C8">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w:t>
            </w:r>
          </w:p>
        </w:tc>
        <w:tc>
          <w:tcPr>
            <w:tcW w:w="2035" w:type="dxa"/>
            <w:noWrap/>
            <w:vAlign w:val="center"/>
          </w:tcPr>
          <w:p w14:paraId="0352F6F4">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门诊大厅入口侧(超市便利店)</w:t>
            </w:r>
          </w:p>
        </w:tc>
        <w:tc>
          <w:tcPr>
            <w:tcW w:w="686" w:type="dxa"/>
            <w:vMerge w:val="restart"/>
            <w:noWrap/>
            <w:vAlign w:val="center"/>
          </w:tcPr>
          <w:p w14:paraId="2AB2D479">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900" w:type="dxa"/>
            <w:noWrap/>
            <w:vAlign w:val="center"/>
          </w:tcPr>
          <w:p w14:paraId="139DC3B8">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109.64</w:t>
            </w:r>
          </w:p>
        </w:tc>
        <w:tc>
          <w:tcPr>
            <w:tcW w:w="885" w:type="dxa"/>
            <w:vMerge w:val="restart"/>
            <w:shd w:val="clear" w:color="auto" w:fill="auto"/>
            <w:noWrap/>
            <w:vAlign w:val="center"/>
          </w:tcPr>
          <w:p w14:paraId="3B7DF942">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926548</w:t>
            </w:r>
          </w:p>
        </w:tc>
        <w:tc>
          <w:tcPr>
            <w:tcW w:w="900" w:type="dxa"/>
            <w:vMerge w:val="restart"/>
            <w:noWrap/>
            <w:vAlign w:val="center"/>
          </w:tcPr>
          <w:p w14:paraId="0BA1D255">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200000</w:t>
            </w:r>
          </w:p>
        </w:tc>
        <w:tc>
          <w:tcPr>
            <w:tcW w:w="4759" w:type="dxa"/>
            <w:vMerge w:val="restart"/>
            <w:noWrap/>
            <w:vAlign w:val="center"/>
          </w:tcPr>
          <w:p w14:paraId="7C663939">
            <w:pPr>
              <w:widowControl/>
              <w:numPr>
                <w:ilvl w:val="0"/>
                <w:numId w:val="1"/>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竞买人或竞买人代理品牌的持有者，注册资本不低于人民币1000万元，营业执照经营范围需包含百货、食品内容。</w:t>
            </w:r>
          </w:p>
          <w:p w14:paraId="5561D25D">
            <w:pPr>
              <w:widowControl/>
              <w:numPr>
                <w:ilvl w:val="0"/>
                <w:numId w:val="1"/>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 xml:space="preserve">竞买品牌在温州地区，至少有2家三级医院内超市便利店门店（限与医院直接合作）或至少5家不同市场超市便利店门店在营。 </w:t>
            </w:r>
          </w:p>
        </w:tc>
      </w:tr>
      <w:tr w14:paraId="64BD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391" w:type="dxa"/>
            <w:vMerge w:val="continue"/>
            <w:noWrap/>
            <w:vAlign w:val="center"/>
          </w:tcPr>
          <w:p w14:paraId="24C28E19">
            <w:pPr>
              <w:widowControl/>
              <w:adjustRightInd w:val="0"/>
              <w:snapToGrid w:val="0"/>
              <w:spacing w:line="240" w:lineRule="auto"/>
              <w:jc w:val="center"/>
              <w:rPr>
                <w:rFonts w:hint="eastAsia" w:ascii="宋体" w:hAnsi="宋体" w:eastAsia="宋体" w:cs="宋体"/>
                <w:szCs w:val="21"/>
              </w:rPr>
            </w:pPr>
          </w:p>
        </w:tc>
        <w:tc>
          <w:tcPr>
            <w:tcW w:w="2035" w:type="dxa"/>
            <w:shd w:val="clear" w:color="auto" w:fill="auto"/>
            <w:noWrap/>
            <w:vAlign w:val="center"/>
          </w:tcPr>
          <w:p w14:paraId="7013612F">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4号住院楼入口侧网点(超市便利店)</w:t>
            </w:r>
          </w:p>
        </w:tc>
        <w:tc>
          <w:tcPr>
            <w:tcW w:w="686" w:type="dxa"/>
            <w:vMerge w:val="continue"/>
            <w:shd w:val="clear" w:color="auto" w:fill="auto"/>
            <w:noWrap/>
            <w:vAlign w:val="center"/>
          </w:tcPr>
          <w:p w14:paraId="7AF804CF">
            <w:pPr>
              <w:widowControl/>
              <w:adjustRightInd w:val="0"/>
              <w:snapToGrid w:val="0"/>
              <w:spacing w:line="240" w:lineRule="auto"/>
              <w:jc w:val="center"/>
              <w:rPr>
                <w:rFonts w:hint="eastAsia" w:ascii="宋体" w:hAnsi="宋体" w:eastAsia="宋体" w:cs="宋体"/>
                <w:szCs w:val="21"/>
              </w:rPr>
            </w:pPr>
          </w:p>
        </w:tc>
        <w:tc>
          <w:tcPr>
            <w:tcW w:w="900" w:type="dxa"/>
            <w:shd w:val="clear" w:color="auto" w:fill="auto"/>
            <w:noWrap/>
            <w:vAlign w:val="center"/>
          </w:tcPr>
          <w:p w14:paraId="7BD9859E">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35.04</w:t>
            </w:r>
          </w:p>
        </w:tc>
        <w:tc>
          <w:tcPr>
            <w:tcW w:w="885" w:type="dxa"/>
            <w:vMerge w:val="continue"/>
            <w:shd w:val="clear" w:color="auto" w:fill="auto"/>
            <w:noWrap/>
            <w:vAlign w:val="center"/>
          </w:tcPr>
          <w:p w14:paraId="28512DF8">
            <w:pPr>
              <w:widowControl/>
              <w:adjustRightInd w:val="0"/>
              <w:snapToGrid w:val="0"/>
              <w:spacing w:line="240" w:lineRule="auto"/>
              <w:jc w:val="center"/>
              <w:rPr>
                <w:rFonts w:hint="eastAsia" w:ascii="宋体" w:hAnsi="宋体" w:eastAsia="宋体" w:cs="宋体"/>
                <w:szCs w:val="21"/>
              </w:rPr>
            </w:pPr>
          </w:p>
        </w:tc>
        <w:tc>
          <w:tcPr>
            <w:tcW w:w="900" w:type="dxa"/>
            <w:vMerge w:val="continue"/>
            <w:shd w:val="clear" w:color="auto" w:fill="auto"/>
            <w:noWrap/>
            <w:vAlign w:val="center"/>
          </w:tcPr>
          <w:p w14:paraId="7E2F1363">
            <w:pPr>
              <w:widowControl/>
              <w:adjustRightInd w:val="0"/>
              <w:snapToGrid w:val="0"/>
              <w:spacing w:line="240" w:lineRule="auto"/>
              <w:jc w:val="center"/>
              <w:rPr>
                <w:rFonts w:hint="eastAsia" w:ascii="宋体" w:hAnsi="宋体" w:eastAsia="宋体" w:cs="宋体"/>
                <w:szCs w:val="21"/>
              </w:rPr>
            </w:pPr>
          </w:p>
        </w:tc>
        <w:tc>
          <w:tcPr>
            <w:tcW w:w="4759" w:type="dxa"/>
            <w:vMerge w:val="continue"/>
            <w:shd w:val="clear" w:color="auto" w:fill="auto"/>
            <w:noWrap/>
            <w:vAlign w:val="center"/>
          </w:tcPr>
          <w:p w14:paraId="6607654F">
            <w:pPr>
              <w:widowControl/>
              <w:adjustRightInd w:val="0"/>
              <w:snapToGrid w:val="0"/>
              <w:spacing w:line="240" w:lineRule="auto"/>
              <w:jc w:val="left"/>
              <w:rPr>
                <w:rFonts w:hint="eastAsia" w:ascii="宋体" w:hAnsi="宋体" w:eastAsia="宋体" w:cs="宋体"/>
                <w:szCs w:val="21"/>
              </w:rPr>
            </w:pPr>
          </w:p>
        </w:tc>
      </w:tr>
      <w:tr w14:paraId="4E39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1" w:type="dxa"/>
            <w:vMerge w:val="continue"/>
            <w:noWrap/>
            <w:vAlign w:val="center"/>
          </w:tcPr>
          <w:p w14:paraId="4D16684F">
            <w:pPr>
              <w:widowControl/>
              <w:adjustRightInd w:val="0"/>
              <w:snapToGrid w:val="0"/>
              <w:spacing w:line="240" w:lineRule="auto"/>
              <w:jc w:val="center"/>
              <w:rPr>
                <w:rFonts w:hint="eastAsia" w:ascii="宋体" w:hAnsi="宋体" w:eastAsia="宋体" w:cs="宋体"/>
                <w:szCs w:val="21"/>
              </w:rPr>
            </w:pPr>
          </w:p>
        </w:tc>
        <w:tc>
          <w:tcPr>
            <w:tcW w:w="2035" w:type="dxa"/>
            <w:shd w:val="clear" w:color="auto" w:fill="auto"/>
            <w:noWrap/>
            <w:vAlign w:val="center"/>
          </w:tcPr>
          <w:p w14:paraId="3428D0F9">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医院内部各区域(自助售卖机)</w:t>
            </w:r>
          </w:p>
        </w:tc>
        <w:tc>
          <w:tcPr>
            <w:tcW w:w="686" w:type="dxa"/>
            <w:vMerge w:val="continue"/>
            <w:shd w:val="clear" w:color="auto" w:fill="auto"/>
            <w:noWrap/>
            <w:vAlign w:val="center"/>
          </w:tcPr>
          <w:p w14:paraId="11AE581D">
            <w:pPr>
              <w:widowControl/>
              <w:adjustRightInd w:val="0"/>
              <w:snapToGrid w:val="0"/>
              <w:spacing w:line="240" w:lineRule="auto"/>
              <w:jc w:val="center"/>
              <w:rPr>
                <w:rFonts w:hint="eastAsia" w:ascii="宋体" w:hAnsi="宋体" w:eastAsia="宋体" w:cs="宋体"/>
                <w:szCs w:val="21"/>
              </w:rPr>
            </w:pPr>
          </w:p>
        </w:tc>
        <w:tc>
          <w:tcPr>
            <w:tcW w:w="900" w:type="dxa"/>
            <w:shd w:val="clear" w:color="auto" w:fill="auto"/>
            <w:noWrap/>
            <w:vAlign w:val="center"/>
          </w:tcPr>
          <w:p w14:paraId="7A747E4D">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15</w:t>
            </w:r>
          </w:p>
        </w:tc>
        <w:tc>
          <w:tcPr>
            <w:tcW w:w="885" w:type="dxa"/>
            <w:vMerge w:val="continue"/>
            <w:shd w:val="clear" w:color="auto" w:fill="auto"/>
            <w:noWrap/>
            <w:vAlign w:val="center"/>
          </w:tcPr>
          <w:p w14:paraId="3C7639EF">
            <w:pPr>
              <w:widowControl/>
              <w:adjustRightInd w:val="0"/>
              <w:snapToGrid w:val="0"/>
              <w:spacing w:line="240" w:lineRule="auto"/>
              <w:jc w:val="center"/>
              <w:rPr>
                <w:rFonts w:hint="eastAsia" w:ascii="宋体" w:hAnsi="宋体" w:eastAsia="宋体" w:cs="宋体"/>
                <w:szCs w:val="21"/>
              </w:rPr>
            </w:pPr>
          </w:p>
        </w:tc>
        <w:tc>
          <w:tcPr>
            <w:tcW w:w="900" w:type="dxa"/>
            <w:vMerge w:val="continue"/>
            <w:shd w:val="clear" w:color="auto" w:fill="auto"/>
            <w:noWrap/>
            <w:vAlign w:val="center"/>
          </w:tcPr>
          <w:p w14:paraId="00C7227F">
            <w:pPr>
              <w:widowControl/>
              <w:adjustRightInd w:val="0"/>
              <w:snapToGrid w:val="0"/>
              <w:spacing w:line="240" w:lineRule="auto"/>
              <w:jc w:val="center"/>
              <w:rPr>
                <w:rFonts w:hint="eastAsia" w:ascii="宋体" w:hAnsi="宋体" w:eastAsia="宋体" w:cs="宋体"/>
                <w:szCs w:val="21"/>
              </w:rPr>
            </w:pPr>
          </w:p>
        </w:tc>
        <w:tc>
          <w:tcPr>
            <w:tcW w:w="4759" w:type="dxa"/>
            <w:vMerge w:val="continue"/>
            <w:shd w:val="clear" w:color="auto" w:fill="auto"/>
            <w:noWrap/>
            <w:vAlign w:val="center"/>
          </w:tcPr>
          <w:p w14:paraId="759A3C77">
            <w:pPr>
              <w:widowControl/>
              <w:adjustRightInd w:val="0"/>
              <w:snapToGrid w:val="0"/>
              <w:spacing w:line="240" w:lineRule="auto"/>
              <w:jc w:val="left"/>
              <w:rPr>
                <w:rFonts w:hint="eastAsia" w:ascii="宋体" w:hAnsi="宋体" w:eastAsia="宋体" w:cs="宋体"/>
                <w:szCs w:val="21"/>
              </w:rPr>
            </w:pPr>
          </w:p>
        </w:tc>
      </w:tr>
      <w:tr w14:paraId="7AE2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91" w:type="dxa"/>
            <w:noWrap/>
            <w:vAlign w:val="center"/>
          </w:tcPr>
          <w:p w14:paraId="0DB6AB86">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2035" w:type="dxa"/>
            <w:shd w:val="clear" w:color="auto" w:fill="auto"/>
            <w:noWrap/>
            <w:vAlign w:val="center"/>
          </w:tcPr>
          <w:p w14:paraId="3C0D6980">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3-4号住院楼地下一层(食堂餐厅)</w:t>
            </w:r>
          </w:p>
        </w:tc>
        <w:tc>
          <w:tcPr>
            <w:tcW w:w="686" w:type="dxa"/>
            <w:shd w:val="clear" w:color="auto" w:fill="auto"/>
            <w:noWrap/>
            <w:vAlign w:val="center"/>
          </w:tcPr>
          <w:p w14:paraId="648F20B9">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900" w:type="dxa"/>
            <w:shd w:val="clear" w:color="auto" w:fill="auto"/>
            <w:noWrap/>
            <w:vAlign w:val="center"/>
          </w:tcPr>
          <w:p w14:paraId="7CF63789">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550</w:t>
            </w:r>
          </w:p>
        </w:tc>
        <w:tc>
          <w:tcPr>
            <w:tcW w:w="885" w:type="dxa"/>
            <w:shd w:val="clear" w:color="auto" w:fill="auto"/>
            <w:noWrap/>
            <w:vAlign w:val="center"/>
          </w:tcPr>
          <w:p w14:paraId="57F53516">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792000</w:t>
            </w:r>
          </w:p>
        </w:tc>
        <w:tc>
          <w:tcPr>
            <w:tcW w:w="900" w:type="dxa"/>
            <w:shd w:val="clear" w:color="auto" w:fill="auto"/>
            <w:noWrap/>
            <w:vAlign w:val="center"/>
          </w:tcPr>
          <w:p w14:paraId="5ECCEC40">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160000</w:t>
            </w:r>
          </w:p>
        </w:tc>
        <w:tc>
          <w:tcPr>
            <w:tcW w:w="4759" w:type="dxa"/>
            <w:shd w:val="clear" w:color="auto" w:fill="auto"/>
            <w:noWrap/>
            <w:vAlign w:val="center"/>
          </w:tcPr>
          <w:p w14:paraId="76D8A9CC">
            <w:pPr>
              <w:widowControl/>
              <w:numPr>
                <w:ilvl w:val="0"/>
                <w:numId w:val="2"/>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营业执照经营范围需包含餐饮管理或餐饮服务内容。</w:t>
            </w:r>
          </w:p>
          <w:p w14:paraId="0155A088">
            <w:pPr>
              <w:widowControl/>
              <w:numPr>
                <w:ilvl w:val="0"/>
                <w:numId w:val="2"/>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在龙港市内医院、学校、政府机关，至少有5家膳食经营管理项目在营。</w:t>
            </w:r>
          </w:p>
        </w:tc>
      </w:tr>
      <w:tr w14:paraId="255F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1" w:type="dxa"/>
            <w:noWrap/>
            <w:vAlign w:val="center"/>
          </w:tcPr>
          <w:p w14:paraId="6EC5817E">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2035" w:type="dxa"/>
            <w:noWrap/>
            <w:vAlign w:val="center"/>
          </w:tcPr>
          <w:p w14:paraId="4E71F2A2">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门诊大厅入口侧(咖啡类)</w:t>
            </w:r>
          </w:p>
        </w:tc>
        <w:tc>
          <w:tcPr>
            <w:tcW w:w="686" w:type="dxa"/>
            <w:noWrap/>
            <w:vAlign w:val="center"/>
          </w:tcPr>
          <w:p w14:paraId="0D860AC0">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900" w:type="dxa"/>
            <w:noWrap/>
            <w:vAlign w:val="center"/>
          </w:tcPr>
          <w:p w14:paraId="1F65012E">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159.34</w:t>
            </w:r>
          </w:p>
        </w:tc>
        <w:tc>
          <w:tcPr>
            <w:tcW w:w="885" w:type="dxa"/>
            <w:noWrap/>
            <w:vAlign w:val="center"/>
          </w:tcPr>
          <w:p w14:paraId="02219FC5">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611866</w:t>
            </w:r>
          </w:p>
        </w:tc>
        <w:tc>
          <w:tcPr>
            <w:tcW w:w="900" w:type="dxa"/>
            <w:noWrap/>
            <w:vAlign w:val="center"/>
          </w:tcPr>
          <w:p w14:paraId="2AE3AB09">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130000</w:t>
            </w:r>
          </w:p>
        </w:tc>
        <w:tc>
          <w:tcPr>
            <w:tcW w:w="4759" w:type="dxa"/>
            <w:noWrap/>
            <w:vAlign w:val="center"/>
          </w:tcPr>
          <w:p w14:paraId="0D090E5F">
            <w:pPr>
              <w:widowControl/>
              <w:numPr>
                <w:ilvl w:val="0"/>
                <w:numId w:val="3"/>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营业执照经营范围需包含餐饮管理或餐饮服务内容。</w:t>
            </w:r>
          </w:p>
          <w:p w14:paraId="548F4BA8">
            <w:pPr>
              <w:widowControl/>
              <w:numPr>
                <w:ilvl w:val="0"/>
                <w:numId w:val="3"/>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 xml:space="preserve">浙江省内，在三级甲等医院内有咖啡项目在营（限与医院直接合作）。 </w:t>
            </w:r>
          </w:p>
        </w:tc>
      </w:tr>
      <w:tr w14:paraId="3AB0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91" w:type="dxa"/>
            <w:vMerge w:val="restart"/>
            <w:noWrap/>
            <w:vAlign w:val="center"/>
          </w:tcPr>
          <w:p w14:paraId="02A030F6">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2035" w:type="dxa"/>
            <w:noWrap/>
            <w:vAlign w:val="center"/>
          </w:tcPr>
          <w:p w14:paraId="28D50E55">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门诊大厅入口侧(医疗用品项目)</w:t>
            </w:r>
          </w:p>
        </w:tc>
        <w:tc>
          <w:tcPr>
            <w:tcW w:w="686" w:type="dxa"/>
            <w:vMerge w:val="restart"/>
            <w:noWrap/>
            <w:vAlign w:val="center"/>
          </w:tcPr>
          <w:p w14:paraId="6E40E11A">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900" w:type="dxa"/>
            <w:noWrap/>
            <w:vAlign w:val="center"/>
          </w:tcPr>
          <w:p w14:paraId="07FADCC0">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42</w:t>
            </w:r>
          </w:p>
        </w:tc>
        <w:tc>
          <w:tcPr>
            <w:tcW w:w="885" w:type="dxa"/>
            <w:vMerge w:val="restart"/>
            <w:shd w:val="clear" w:color="auto" w:fill="auto"/>
            <w:noWrap/>
            <w:vAlign w:val="center"/>
          </w:tcPr>
          <w:p w14:paraId="1625E1F1">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285000</w:t>
            </w:r>
          </w:p>
        </w:tc>
        <w:tc>
          <w:tcPr>
            <w:tcW w:w="900" w:type="dxa"/>
            <w:vMerge w:val="restart"/>
            <w:noWrap/>
            <w:vAlign w:val="center"/>
          </w:tcPr>
          <w:p w14:paraId="45AF25F6">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60000</w:t>
            </w:r>
          </w:p>
        </w:tc>
        <w:tc>
          <w:tcPr>
            <w:tcW w:w="4759" w:type="dxa"/>
            <w:vMerge w:val="restart"/>
            <w:noWrap/>
            <w:vAlign w:val="center"/>
          </w:tcPr>
          <w:p w14:paraId="66FC3248">
            <w:pPr>
              <w:widowControl/>
              <w:numPr>
                <w:ilvl w:val="0"/>
                <w:numId w:val="4"/>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具有第三类医疗器械经营资质。</w:t>
            </w:r>
          </w:p>
          <w:p w14:paraId="6C9B67C5">
            <w:pPr>
              <w:widowControl/>
              <w:numPr>
                <w:ilvl w:val="0"/>
                <w:numId w:val="4"/>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在浙江省内三级甲等医院内有医疗器械项目在营（限与医院直接合作）。</w:t>
            </w:r>
          </w:p>
        </w:tc>
      </w:tr>
      <w:tr w14:paraId="1062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1" w:type="dxa"/>
            <w:vMerge w:val="continue"/>
            <w:noWrap/>
            <w:vAlign w:val="center"/>
          </w:tcPr>
          <w:p w14:paraId="52410771">
            <w:pPr>
              <w:widowControl/>
              <w:adjustRightInd w:val="0"/>
              <w:snapToGrid w:val="0"/>
              <w:spacing w:line="240" w:lineRule="auto"/>
              <w:jc w:val="center"/>
              <w:rPr>
                <w:rFonts w:hint="eastAsia" w:ascii="宋体" w:hAnsi="宋体" w:eastAsia="宋体" w:cs="宋体"/>
                <w:szCs w:val="21"/>
              </w:rPr>
            </w:pPr>
          </w:p>
        </w:tc>
        <w:tc>
          <w:tcPr>
            <w:tcW w:w="2035" w:type="dxa"/>
            <w:noWrap/>
            <w:vAlign w:val="center"/>
          </w:tcPr>
          <w:p w14:paraId="314DA276">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门诊大厅入口侧内部(医疗用品仓库)</w:t>
            </w:r>
          </w:p>
        </w:tc>
        <w:tc>
          <w:tcPr>
            <w:tcW w:w="686" w:type="dxa"/>
            <w:vMerge w:val="continue"/>
            <w:noWrap/>
            <w:vAlign w:val="center"/>
          </w:tcPr>
          <w:p w14:paraId="04D2A43D">
            <w:pPr>
              <w:widowControl/>
              <w:adjustRightInd w:val="0"/>
              <w:snapToGrid w:val="0"/>
              <w:spacing w:line="240" w:lineRule="auto"/>
              <w:jc w:val="center"/>
              <w:rPr>
                <w:rFonts w:hint="eastAsia" w:ascii="宋体" w:hAnsi="宋体" w:eastAsia="宋体" w:cs="宋体"/>
                <w:szCs w:val="21"/>
              </w:rPr>
            </w:pPr>
          </w:p>
        </w:tc>
        <w:tc>
          <w:tcPr>
            <w:tcW w:w="900" w:type="dxa"/>
            <w:noWrap/>
            <w:vAlign w:val="center"/>
          </w:tcPr>
          <w:p w14:paraId="7C73A440">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27.5</w:t>
            </w:r>
          </w:p>
        </w:tc>
        <w:tc>
          <w:tcPr>
            <w:tcW w:w="885" w:type="dxa"/>
            <w:vMerge w:val="continue"/>
            <w:noWrap/>
            <w:vAlign w:val="center"/>
          </w:tcPr>
          <w:p w14:paraId="678F0D10">
            <w:pPr>
              <w:widowControl/>
              <w:adjustRightInd w:val="0"/>
              <w:snapToGrid w:val="0"/>
              <w:spacing w:line="240" w:lineRule="auto"/>
              <w:jc w:val="center"/>
              <w:rPr>
                <w:rFonts w:hint="eastAsia" w:ascii="宋体" w:hAnsi="宋体" w:eastAsia="宋体" w:cs="宋体"/>
                <w:szCs w:val="21"/>
              </w:rPr>
            </w:pPr>
          </w:p>
        </w:tc>
        <w:tc>
          <w:tcPr>
            <w:tcW w:w="900" w:type="dxa"/>
            <w:vMerge w:val="continue"/>
            <w:noWrap/>
            <w:vAlign w:val="center"/>
          </w:tcPr>
          <w:p w14:paraId="25D740F0">
            <w:pPr>
              <w:widowControl/>
              <w:adjustRightInd w:val="0"/>
              <w:snapToGrid w:val="0"/>
              <w:spacing w:line="240" w:lineRule="auto"/>
              <w:jc w:val="center"/>
              <w:rPr>
                <w:rFonts w:hint="eastAsia" w:ascii="宋体" w:hAnsi="宋体" w:eastAsia="宋体" w:cs="宋体"/>
                <w:szCs w:val="21"/>
              </w:rPr>
            </w:pPr>
          </w:p>
        </w:tc>
        <w:tc>
          <w:tcPr>
            <w:tcW w:w="4759" w:type="dxa"/>
            <w:vMerge w:val="continue"/>
            <w:noWrap/>
            <w:vAlign w:val="center"/>
          </w:tcPr>
          <w:p w14:paraId="35F77E18">
            <w:pPr>
              <w:widowControl/>
              <w:numPr>
                <w:ilvl w:val="0"/>
                <w:numId w:val="1"/>
              </w:numPr>
              <w:adjustRightInd w:val="0"/>
              <w:snapToGrid w:val="0"/>
              <w:spacing w:line="240" w:lineRule="auto"/>
              <w:jc w:val="left"/>
              <w:rPr>
                <w:rFonts w:hint="eastAsia" w:ascii="宋体" w:hAnsi="宋体" w:eastAsia="宋体" w:cs="宋体"/>
                <w:szCs w:val="21"/>
              </w:rPr>
            </w:pPr>
          </w:p>
        </w:tc>
      </w:tr>
      <w:tr w14:paraId="354B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1" w:type="dxa"/>
            <w:noWrap/>
            <w:vAlign w:val="center"/>
          </w:tcPr>
          <w:p w14:paraId="10D2839A">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2035" w:type="dxa"/>
            <w:shd w:val="clear" w:color="auto" w:fill="auto"/>
            <w:noWrap/>
            <w:vAlign w:val="center"/>
          </w:tcPr>
          <w:p w14:paraId="333C27E5">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门诊大厅入口侧(奶吧类)</w:t>
            </w:r>
          </w:p>
        </w:tc>
        <w:tc>
          <w:tcPr>
            <w:tcW w:w="686" w:type="dxa"/>
            <w:shd w:val="clear" w:color="auto" w:fill="auto"/>
            <w:noWrap/>
            <w:vAlign w:val="center"/>
          </w:tcPr>
          <w:p w14:paraId="49394790">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900" w:type="dxa"/>
            <w:shd w:val="clear" w:color="auto" w:fill="auto"/>
            <w:noWrap/>
            <w:vAlign w:val="center"/>
          </w:tcPr>
          <w:p w14:paraId="2A8E8B34">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37.8</w:t>
            </w:r>
          </w:p>
        </w:tc>
        <w:tc>
          <w:tcPr>
            <w:tcW w:w="885" w:type="dxa"/>
            <w:shd w:val="clear" w:color="auto" w:fill="auto"/>
            <w:noWrap/>
            <w:vAlign w:val="center"/>
          </w:tcPr>
          <w:p w14:paraId="40015366">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226800</w:t>
            </w:r>
          </w:p>
        </w:tc>
        <w:tc>
          <w:tcPr>
            <w:tcW w:w="900" w:type="dxa"/>
            <w:shd w:val="clear" w:color="auto" w:fill="auto"/>
            <w:noWrap/>
            <w:vAlign w:val="center"/>
          </w:tcPr>
          <w:p w14:paraId="18402E0F">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50000</w:t>
            </w:r>
          </w:p>
        </w:tc>
        <w:tc>
          <w:tcPr>
            <w:tcW w:w="4759" w:type="dxa"/>
            <w:shd w:val="clear" w:color="auto" w:fill="auto"/>
            <w:noWrap/>
            <w:vAlign w:val="center"/>
          </w:tcPr>
          <w:p w14:paraId="1C25B5DA">
            <w:pPr>
              <w:pStyle w:val="12"/>
              <w:widowControl/>
              <w:numPr>
                <w:ilvl w:val="0"/>
                <w:numId w:val="5"/>
              </w:numPr>
              <w:adjustRightInd w:val="0"/>
              <w:snapToGrid w:val="0"/>
              <w:spacing w:line="240" w:lineRule="auto"/>
              <w:ind w:firstLine="0" w:firstLineChars="0"/>
              <w:jc w:val="left"/>
              <w:rPr>
                <w:rFonts w:hint="eastAsia" w:ascii="宋体" w:hAnsi="宋体" w:eastAsia="宋体" w:cs="宋体"/>
                <w:szCs w:val="21"/>
              </w:rPr>
            </w:pPr>
            <w:r>
              <w:rPr>
                <w:rFonts w:hint="eastAsia" w:ascii="宋体" w:hAnsi="宋体" w:eastAsia="宋体" w:cs="宋体"/>
                <w:szCs w:val="21"/>
              </w:rPr>
              <w:t>营业执照经营范围需包含餐饮管理或餐饮服务内容。</w:t>
            </w:r>
          </w:p>
          <w:p w14:paraId="268B2739">
            <w:pPr>
              <w:pStyle w:val="12"/>
              <w:widowControl/>
              <w:numPr>
                <w:ilvl w:val="0"/>
                <w:numId w:val="5"/>
              </w:numPr>
              <w:adjustRightInd w:val="0"/>
              <w:snapToGrid w:val="0"/>
              <w:spacing w:line="240" w:lineRule="auto"/>
              <w:ind w:firstLine="0" w:firstLineChars="0"/>
              <w:jc w:val="left"/>
              <w:rPr>
                <w:rFonts w:hint="eastAsia" w:ascii="宋体" w:hAnsi="宋体" w:eastAsia="宋体" w:cs="宋体"/>
                <w:b/>
                <w:bCs/>
                <w:szCs w:val="21"/>
              </w:rPr>
            </w:pPr>
            <w:r>
              <w:rPr>
                <w:rFonts w:hint="eastAsia" w:ascii="宋体" w:hAnsi="宋体" w:eastAsia="宋体" w:cs="宋体"/>
                <w:szCs w:val="21"/>
              </w:rPr>
              <w:t>竞买的奶吧品牌在浙江省内，至少有25家连锁门店在营。</w:t>
            </w:r>
          </w:p>
        </w:tc>
      </w:tr>
      <w:tr w14:paraId="31A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391" w:type="dxa"/>
            <w:noWrap/>
            <w:vAlign w:val="center"/>
          </w:tcPr>
          <w:p w14:paraId="64E738C2">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2035" w:type="dxa"/>
            <w:noWrap/>
            <w:vAlign w:val="center"/>
          </w:tcPr>
          <w:p w14:paraId="4EF2C9A9">
            <w:pPr>
              <w:widowControl/>
              <w:adjustRightInd w:val="0"/>
              <w:snapToGrid w:val="0"/>
              <w:spacing w:line="240" w:lineRule="auto"/>
              <w:rPr>
                <w:rFonts w:hint="eastAsia" w:ascii="宋体" w:hAnsi="宋体" w:eastAsia="宋体" w:cs="宋体"/>
                <w:szCs w:val="21"/>
              </w:rPr>
            </w:pPr>
            <w:r>
              <w:rPr>
                <w:rFonts w:hint="eastAsia" w:ascii="宋体" w:hAnsi="宋体" w:eastAsia="宋体" w:cs="宋体"/>
                <w:szCs w:val="21"/>
              </w:rPr>
              <w:t>门诊共享中庭网点(轻食及饮品类)</w:t>
            </w:r>
          </w:p>
        </w:tc>
        <w:tc>
          <w:tcPr>
            <w:tcW w:w="686" w:type="dxa"/>
            <w:noWrap/>
            <w:vAlign w:val="center"/>
          </w:tcPr>
          <w:p w14:paraId="53724883">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900" w:type="dxa"/>
            <w:noWrap/>
            <w:vAlign w:val="center"/>
          </w:tcPr>
          <w:p w14:paraId="42AF172F">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30</w:t>
            </w:r>
          </w:p>
        </w:tc>
        <w:tc>
          <w:tcPr>
            <w:tcW w:w="885" w:type="dxa"/>
            <w:noWrap/>
            <w:vAlign w:val="center"/>
          </w:tcPr>
          <w:p w14:paraId="74F5EFF2">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165888</w:t>
            </w:r>
          </w:p>
        </w:tc>
        <w:tc>
          <w:tcPr>
            <w:tcW w:w="900" w:type="dxa"/>
            <w:noWrap/>
            <w:vAlign w:val="center"/>
          </w:tcPr>
          <w:p w14:paraId="3CD0D573">
            <w:pPr>
              <w:widowControl/>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35000</w:t>
            </w:r>
          </w:p>
        </w:tc>
        <w:tc>
          <w:tcPr>
            <w:tcW w:w="4759" w:type="dxa"/>
            <w:noWrap/>
            <w:vAlign w:val="center"/>
          </w:tcPr>
          <w:p w14:paraId="24ADEFC2">
            <w:pPr>
              <w:widowControl/>
              <w:numPr>
                <w:ilvl w:val="0"/>
                <w:numId w:val="6"/>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营业执照经营范围需包含餐饮服务或餐饮管理内容。</w:t>
            </w:r>
          </w:p>
          <w:p w14:paraId="566BCE24">
            <w:pPr>
              <w:widowControl/>
              <w:numPr>
                <w:ilvl w:val="0"/>
                <w:numId w:val="6"/>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浙江省内，竞买人或其持股公司有至少2家三级医院内门店（限与医院直接合作）或至少5家市场门店同类项目在营，同类项目的合同中需列明“现磨咖啡”业态，且奶制品、鲜榨果汁、甜点、面包、糕点、轻食饮品类中至少包含1项。</w:t>
            </w:r>
          </w:p>
          <w:p w14:paraId="2D7D84C8">
            <w:pPr>
              <w:widowControl/>
              <w:numPr>
                <w:ilvl w:val="0"/>
                <w:numId w:val="6"/>
              </w:num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咖啡及配方必须仅使用1919品牌，售价须与温医大附一院南白象院区一致。</w:t>
            </w:r>
          </w:p>
        </w:tc>
      </w:tr>
      <w:tr w14:paraId="1FF8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556" w:type="dxa"/>
            <w:gridSpan w:val="7"/>
            <w:noWrap/>
            <w:vAlign w:val="center"/>
          </w:tcPr>
          <w:p w14:paraId="529BE942">
            <w:pPr>
              <w:widowControl/>
              <w:adjustRightInd w:val="0"/>
              <w:snapToGrid w:val="0"/>
              <w:spacing w:line="240" w:lineRule="auto"/>
              <w:jc w:val="left"/>
              <w:rPr>
                <w:rFonts w:hint="eastAsia" w:ascii="宋体" w:hAnsi="宋体" w:cs="宋体"/>
                <w:szCs w:val="21"/>
              </w:rPr>
            </w:pPr>
            <w:r>
              <w:rPr>
                <w:rFonts w:hint="eastAsia" w:ascii="宋体" w:hAnsi="宋体" w:cs="宋体"/>
                <w:b/>
                <w:bCs/>
                <w:szCs w:val="21"/>
              </w:rPr>
              <w:t>注：</w:t>
            </w:r>
            <w:r>
              <w:rPr>
                <w:rFonts w:hint="eastAsia" w:ascii="宋体" w:hAnsi="宋体" w:cs="宋体"/>
                <w:bCs/>
                <w:szCs w:val="21"/>
              </w:rPr>
              <w:t>1、</w:t>
            </w:r>
            <w:r>
              <w:rPr>
                <w:rFonts w:hint="eastAsia" w:ascii="宋体" w:hAnsi="宋体" w:cs="宋体"/>
                <w:szCs w:val="21"/>
              </w:rPr>
              <w:t>租金每三个月一付，先付后用。</w:t>
            </w:r>
          </w:p>
          <w:p w14:paraId="55A6044F">
            <w:pPr>
              <w:widowControl/>
              <w:numPr>
                <w:ilvl w:val="0"/>
                <w:numId w:val="0"/>
              </w:numPr>
              <w:adjustRightInd w:val="0"/>
              <w:snapToGrid w:val="0"/>
              <w:spacing w:line="240" w:lineRule="auto"/>
              <w:ind w:left="0" w:leftChars="0" w:firstLine="420" w:firstLineChars="200"/>
              <w:jc w:val="left"/>
              <w:rPr>
                <w:rFonts w:hint="eastAsia" w:ascii="宋体" w:hAnsi="宋体" w:cs="宋体"/>
                <w:bCs/>
                <w:szCs w:val="21"/>
              </w:rPr>
            </w:pPr>
            <w:r>
              <w:rPr>
                <w:rFonts w:hint="eastAsia" w:ascii="宋体" w:hAnsi="宋体" w:eastAsia="宋体" w:cs="宋体"/>
                <w:b w:val="0"/>
                <w:bCs w:val="0"/>
                <w:kern w:val="2"/>
                <w:sz w:val="21"/>
                <w:szCs w:val="21"/>
                <w:lang w:val="en-US" w:eastAsia="zh-CN" w:bidi="ar-SA"/>
              </w:rPr>
              <w:t>2、</w:t>
            </w:r>
            <w:r>
              <w:rPr>
                <w:rFonts w:hint="eastAsia" w:ascii="宋体" w:hAnsi="宋体" w:cs="宋体"/>
                <w:bCs/>
                <w:szCs w:val="21"/>
              </w:rPr>
              <w:t>所需证明材料均需原件。</w:t>
            </w:r>
          </w:p>
          <w:p w14:paraId="6C46C75E">
            <w:pPr>
              <w:widowControl/>
              <w:numPr>
                <w:ilvl w:val="0"/>
                <w:numId w:val="0"/>
              </w:numPr>
              <w:adjustRightInd w:val="0"/>
              <w:snapToGrid w:val="0"/>
              <w:spacing w:line="240" w:lineRule="auto"/>
              <w:ind w:left="0" w:leftChars="0" w:firstLine="420" w:firstLineChars="200"/>
              <w:jc w:val="left"/>
              <w:rPr>
                <w:rFonts w:ascii="宋体" w:hAnsi="宋体" w:cs="宋体"/>
                <w:b/>
                <w:bCs/>
                <w:szCs w:val="21"/>
              </w:rPr>
            </w:pPr>
            <w:r>
              <w:rPr>
                <w:rFonts w:hint="eastAsia" w:ascii="宋体" w:hAnsi="宋体" w:cs="宋体"/>
                <w:szCs w:val="21"/>
              </w:rPr>
              <w:t>3、</w:t>
            </w:r>
            <w:r>
              <w:rPr>
                <w:rFonts w:hint="eastAsia" w:ascii="宋体" w:hAnsi="宋体" w:cs="宋体"/>
                <w:bCs/>
                <w:szCs w:val="21"/>
              </w:rPr>
              <w:t>竞买人在营项目以签订的合同或能体现营业地点的店铺实景照片、定位地图为准。竞买人应提供品牌持有人的相关证明文件和品牌持有人对本项目使用授权的相关证明文件。</w:t>
            </w:r>
            <w:r>
              <w:rPr>
                <w:rFonts w:hint="eastAsia" w:ascii="宋体" w:hAnsi="宋体" w:cs="宋体"/>
                <w:szCs w:val="21"/>
              </w:rPr>
              <w:t>以上要求同类在营项目需提供合同的，合同中需列明具体业态，合同中没列明的需由合同中出租方出具相关证明；在营项目合同日期须在2025年3月31日及以后截止。</w:t>
            </w:r>
          </w:p>
        </w:tc>
      </w:tr>
    </w:tbl>
    <w:p w14:paraId="7E5787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二、竞买对象：</w:t>
      </w:r>
      <w:r>
        <w:rPr>
          <w:rFonts w:hint="eastAsia" w:ascii="宋体" w:hAnsi="宋体" w:eastAsia="宋体" w:cs="宋体"/>
          <w:sz w:val="24"/>
          <w:szCs w:val="24"/>
        </w:rPr>
        <w:t>竞买人应为国内依法设立并有效存续的企业法人，不接受联合体报名。竞买人应2022年1月1日至今或公司成立至今未被列入严重违法失信企业名单，需提供国家企业信用信息公示系统查询记录。</w:t>
      </w:r>
    </w:p>
    <w:p w14:paraId="5FA436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三、标的展示及地点：</w:t>
      </w:r>
      <w:r>
        <w:rPr>
          <w:rFonts w:hint="eastAsia" w:ascii="宋体" w:hAnsi="宋体" w:eastAsia="宋体" w:cs="宋体"/>
          <w:sz w:val="24"/>
          <w:szCs w:val="24"/>
        </w:rPr>
        <w:t>即日起至2025年4月3日11时止；竞买人在参与竞买前应对出租方拟出租商业网点区域进行现场勘查，了解出租场地现状、环境、目前布局等。可提前1-3个工作日联系出租方（联系人：黄老师</w:t>
      </w:r>
      <w:r>
        <w:rPr>
          <w:rFonts w:hint="eastAsia" w:ascii="宋体" w:hAnsi="宋体" w:eastAsia="宋体" w:cs="宋体"/>
          <w:sz w:val="24"/>
          <w:szCs w:val="24"/>
          <w:lang w:eastAsia="zh-CN"/>
        </w:rPr>
        <w:t>，</w:t>
      </w:r>
      <w:r>
        <w:rPr>
          <w:rFonts w:hint="eastAsia" w:ascii="宋体" w:hAnsi="宋体" w:eastAsia="宋体" w:cs="宋体"/>
          <w:sz w:val="24"/>
          <w:szCs w:val="24"/>
        </w:rPr>
        <w:t>电话：0577-88601802），由出租方带领竞买人现场勘查。</w:t>
      </w:r>
    </w:p>
    <w:p w14:paraId="217EE8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四、报名时间及地点：</w:t>
      </w:r>
      <w:r>
        <w:rPr>
          <w:rFonts w:hint="eastAsia" w:ascii="宋体" w:hAnsi="宋体" w:eastAsia="宋体" w:cs="宋体"/>
          <w:sz w:val="24"/>
          <w:szCs w:val="24"/>
        </w:rPr>
        <w:t>2025年3月27日至2025年4月3日11时止（工作时间）；龙港市世纪大道4518号龙港市政务客厅四楼龙港市公共资源交易中心大厅。</w:t>
      </w:r>
    </w:p>
    <w:p w14:paraId="6EA4FB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五、报名事项：</w:t>
      </w:r>
    </w:p>
    <w:p w14:paraId="1F4EA67D">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有意竞买人需提供竞买资格要求的相关证明材料原件供拍卖人进行资格初审；</w:t>
      </w:r>
    </w:p>
    <w:p w14:paraId="483AD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初审通过后需提供《经营方案》供出租方审查，经营方案主要内容包括：整体经营思路、营业时间、经营业态、常驻管理及团队人员配置、食品安全保障及供应方案、经营规划及承诺函等，经营方案须符合交易条件要求，如提供资料证明力不足，出租方有权要求竞买人提供新的证明资料，是否符合条件由出租方最终确认，审查通过后凭出租方出具的《经营方案确认函》参与报名登记；</w:t>
      </w:r>
    </w:p>
    <w:p w14:paraId="0EE473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有意竞买人法人凭法定代表人身份证原件、营业执照副本及其它相关有效证明文件原件、单位公章、保证金缴款凭证，到龙港市公共资源交易中心大厅办理报名登记手续。如委托的，需提交经公证处公证的授权委托书及受托人有效身份证件。保证金必须由竞买人银行账户缴款，不可他人代缴。</w:t>
      </w:r>
    </w:p>
    <w:p w14:paraId="4031FB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sz w:val="24"/>
          <w:szCs w:val="24"/>
        </w:rPr>
        <w:t>、保证金收款人户名：</w:t>
      </w:r>
      <w:r>
        <w:rPr>
          <w:rFonts w:hint="eastAsia" w:ascii="宋体" w:hAnsi="宋体" w:eastAsia="宋体" w:cs="宋体"/>
          <w:bCs/>
          <w:sz w:val="24"/>
          <w:szCs w:val="24"/>
        </w:rPr>
        <w:t>龙港市政务服务中心保证金专户；账号：2010 0025 7681 022；开户行：浙江龙港农村商业银行股份有限公司。</w:t>
      </w:r>
    </w:p>
    <w:p w14:paraId="153B4A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sz w:val="24"/>
          <w:szCs w:val="24"/>
        </w:rPr>
        <w:t>、拍卖方式：</w:t>
      </w:r>
      <w:r>
        <w:rPr>
          <w:rFonts w:hint="eastAsia" w:ascii="宋体" w:hAnsi="宋体" w:eastAsia="宋体" w:cs="宋体"/>
          <w:sz w:val="24"/>
          <w:szCs w:val="24"/>
        </w:rPr>
        <w:t>报名时间截止前，如只有一家合格竞买人，则该竞买人以不低于起拍价成交；如有两家及以上符合条件的竞买人，则按照本公告确定的时间、地点进行增价式拍卖。</w:t>
      </w:r>
    </w:p>
    <w:p w14:paraId="3E18E4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cs="宋体"/>
          <w:b/>
          <w:bCs/>
          <w:color w:val="auto"/>
          <w:sz w:val="24"/>
          <w:szCs w:val="24"/>
          <w:lang w:val="en-US" w:eastAsia="zh-CN"/>
        </w:rPr>
        <w:t>八</w:t>
      </w:r>
      <w:r>
        <w:rPr>
          <w:rFonts w:hint="eastAsia" w:ascii="宋体" w:hAnsi="宋体" w:eastAsia="宋体" w:cs="宋体"/>
          <w:b/>
          <w:bCs/>
          <w:sz w:val="24"/>
          <w:szCs w:val="24"/>
        </w:rPr>
        <w:t>、咨询电话：</w:t>
      </w:r>
      <w:r>
        <w:rPr>
          <w:rFonts w:hint="eastAsia" w:ascii="宋体" w:hAnsi="宋体" w:eastAsia="宋体" w:cs="宋体"/>
          <w:sz w:val="24"/>
          <w:szCs w:val="24"/>
        </w:rPr>
        <w:t>0577-63765585（拍卖人）、0577-88601802（出租方）、0577-68099711(交易中心)</w:t>
      </w:r>
    </w:p>
    <w:p w14:paraId="0DEFB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拍卖成交者，保证金待缴清租金款项后凭出租方出具收款证明予以无息退还；未成交者，保证金于拍卖成交后5个工作日内无息全数退还。</w:t>
      </w:r>
    </w:p>
    <w:p w14:paraId="5ADC465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auto"/>
          <w:sz w:val="24"/>
          <w:szCs w:val="24"/>
        </w:rPr>
      </w:pPr>
    </w:p>
    <w:p w14:paraId="1B7B5728">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bCs/>
          <w:color w:val="auto"/>
          <w:spacing w:val="0"/>
          <w:sz w:val="24"/>
          <w:szCs w:val="24"/>
          <w:highlight w:val="none"/>
          <w:lang w:eastAsia="zh-CN"/>
        </w:rPr>
      </w:pPr>
      <w:r>
        <w:rPr>
          <w:rFonts w:hint="eastAsia" w:ascii="宋体" w:hAnsi="宋体" w:cs="宋体"/>
          <w:b/>
          <w:bCs/>
          <w:color w:val="auto"/>
          <w:spacing w:val="0"/>
          <w:sz w:val="24"/>
          <w:szCs w:val="24"/>
          <w:highlight w:val="none"/>
          <w:lang w:eastAsia="zh-CN"/>
        </w:rPr>
        <w:t>龙港市人民医院（温州医科大学附属第一医院龙港院区）</w:t>
      </w:r>
    </w:p>
    <w:p w14:paraId="64EDB286">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龙港市政务服务中心</w:t>
      </w:r>
    </w:p>
    <w:p w14:paraId="70A2930E">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温州</w:t>
      </w:r>
      <w:r>
        <w:rPr>
          <w:rFonts w:hint="eastAsia" w:ascii="宋体" w:hAnsi="宋体" w:eastAsia="宋体" w:cs="宋体"/>
          <w:b/>
          <w:bCs/>
          <w:color w:val="auto"/>
          <w:spacing w:val="0"/>
          <w:sz w:val="24"/>
          <w:szCs w:val="24"/>
          <w:highlight w:val="none"/>
          <w:lang w:val="en-US" w:eastAsia="zh-CN"/>
        </w:rPr>
        <w:t>八方</w:t>
      </w:r>
      <w:r>
        <w:rPr>
          <w:rFonts w:hint="eastAsia" w:ascii="宋体" w:hAnsi="宋体" w:eastAsia="宋体" w:cs="宋体"/>
          <w:b/>
          <w:bCs/>
          <w:color w:val="auto"/>
          <w:spacing w:val="0"/>
          <w:sz w:val="24"/>
          <w:szCs w:val="24"/>
          <w:highlight w:val="none"/>
        </w:rPr>
        <w:t>拍卖有限公司</w:t>
      </w:r>
    </w:p>
    <w:p w14:paraId="6B1720F2">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pPr>
      <w:r>
        <w:rPr>
          <w:rFonts w:hint="eastAsia" w:ascii="宋体" w:hAnsi="宋体" w:cs="宋体"/>
          <w:color w:val="auto"/>
          <w:spacing w:val="0"/>
          <w:sz w:val="24"/>
          <w:szCs w:val="24"/>
          <w:highlight w:val="none"/>
          <w:lang w:eastAsia="zh-CN"/>
        </w:rPr>
        <w:t>2025</w:t>
      </w:r>
      <w:r>
        <w:rPr>
          <w:rFonts w:hint="eastAsia" w:ascii="宋体" w:hAnsi="宋体" w:eastAsia="宋体" w:cs="宋体"/>
          <w:color w:val="auto"/>
          <w:spacing w:val="0"/>
          <w:sz w:val="24"/>
          <w:szCs w:val="24"/>
          <w:highlight w:val="none"/>
        </w:rPr>
        <w:t>年</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月</w:t>
      </w:r>
      <w:r>
        <w:rPr>
          <w:rFonts w:hint="eastAsia" w:ascii="宋体" w:hAnsi="宋体" w:cs="宋体"/>
          <w:color w:val="auto"/>
          <w:spacing w:val="0"/>
          <w:sz w:val="24"/>
          <w:szCs w:val="24"/>
          <w:highlight w:val="none"/>
          <w:lang w:val="en-US" w:eastAsia="zh-CN"/>
        </w:rPr>
        <w:t>20</w:t>
      </w:r>
      <w:r>
        <w:rPr>
          <w:rFonts w:hint="eastAsia" w:ascii="宋体" w:hAnsi="宋体" w:cs="宋体"/>
          <w:color w:val="auto"/>
          <w:spacing w:val="0"/>
          <w:sz w:val="24"/>
          <w:highlight w:val="none"/>
        </w:rPr>
        <w:t>日</w:t>
      </w:r>
    </w:p>
    <w:sectPr>
      <w:headerReference r:id="rId3" w:type="default"/>
      <w:footerReference r:id="rId4" w:type="default"/>
      <w:pgSz w:w="11906" w:h="16838"/>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32F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1095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11095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0D0B">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33D69"/>
    <w:multiLevelType w:val="singleLevel"/>
    <w:tmpl w:val="C9133D69"/>
    <w:lvl w:ilvl="0" w:tentative="0">
      <w:start w:val="1"/>
      <w:numFmt w:val="decimal"/>
      <w:suff w:val="nothing"/>
      <w:lvlText w:val="%1、"/>
      <w:lvlJc w:val="left"/>
      <w:rPr>
        <w:rFonts w:hint="default"/>
        <w:b w:val="0"/>
        <w:bCs w:val="0"/>
      </w:rPr>
    </w:lvl>
  </w:abstractNum>
  <w:abstractNum w:abstractNumId="1">
    <w:nsid w:val="EB5F656A"/>
    <w:multiLevelType w:val="singleLevel"/>
    <w:tmpl w:val="EB5F656A"/>
    <w:lvl w:ilvl="0" w:tentative="0">
      <w:start w:val="1"/>
      <w:numFmt w:val="decimal"/>
      <w:suff w:val="nothing"/>
      <w:lvlText w:val="%1、"/>
      <w:lvlJc w:val="left"/>
    </w:lvl>
  </w:abstractNum>
  <w:abstractNum w:abstractNumId="2">
    <w:nsid w:val="423F3EAA"/>
    <w:multiLevelType w:val="singleLevel"/>
    <w:tmpl w:val="423F3EAA"/>
    <w:lvl w:ilvl="0" w:tentative="0">
      <w:start w:val="1"/>
      <w:numFmt w:val="decimal"/>
      <w:suff w:val="nothing"/>
      <w:lvlText w:val="%1、"/>
      <w:lvlJc w:val="left"/>
    </w:lvl>
  </w:abstractNum>
  <w:abstractNum w:abstractNumId="3">
    <w:nsid w:val="537157BF"/>
    <w:multiLevelType w:val="singleLevel"/>
    <w:tmpl w:val="537157BF"/>
    <w:lvl w:ilvl="0" w:tentative="0">
      <w:start w:val="1"/>
      <w:numFmt w:val="decimal"/>
      <w:suff w:val="nothing"/>
      <w:lvlText w:val="%1、"/>
      <w:lvlJc w:val="left"/>
    </w:lvl>
  </w:abstractNum>
  <w:abstractNum w:abstractNumId="4">
    <w:nsid w:val="585D7C85"/>
    <w:multiLevelType w:val="singleLevel"/>
    <w:tmpl w:val="585D7C85"/>
    <w:lvl w:ilvl="0" w:tentative="0">
      <w:start w:val="1"/>
      <w:numFmt w:val="decimal"/>
      <w:suff w:val="nothing"/>
      <w:lvlText w:val="%1、"/>
      <w:lvlJc w:val="left"/>
    </w:lvl>
  </w:abstractNum>
  <w:abstractNum w:abstractNumId="5">
    <w:nsid w:val="5C38995E"/>
    <w:multiLevelType w:val="singleLevel"/>
    <w:tmpl w:val="5C38995E"/>
    <w:lvl w:ilvl="0" w:tentative="0">
      <w:start w:val="1"/>
      <w:numFmt w:val="decimal"/>
      <w:suff w:val="nothing"/>
      <w:lvlText w:val="%1、"/>
      <w:lvlJc w:val="left"/>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9E"/>
    <w:rsid w:val="003F229E"/>
    <w:rsid w:val="004E1A87"/>
    <w:rsid w:val="00A10B34"/>
    <w:rsid w:val="00A32FFF"/>
    <w:rsid w:val="00F7642A"/>
    <w:rsid w:val="03103BAE"/>
    <w:rsid w:val="0A5E16A3"/>
    <w:rsid w:val="0C6A5094"/>
    <w:rsid w:val="0F1B4006"/>
    <w:rsid w:val="0FF02D9D"/>
    <w:rsid w:val="1A712C26"/>
    <w:rsid w:val="1EEF687A"/>
    <w:rsid w:val="1FA34EB2"/>
    <w:rsid w:val="1FC97167"/>
    <w:rsid w:val="21DF61D6"/>
    <w:rsid w:val="26CC5EBA"/>
    <w:rsid w:val="2E70773E"/>
    <w:rsid w:val="2FC17E5A"/>
    <w:rsid w:val="37BD44A8"/>
    <w:rsid w:val="380B4180"/>
    <w:rsid w:val="396C7089"/>
    <w:rsid w:val="3A865F28"/>
    <w:rsid w:val="3ED731F7"/>
    <w:rsid w:val="476C0CCC"/>
    <w:rsid w:val="4FB76E58"/>
    <w:rsid w:val="549E4143"/>
    <w:rsid w:val="596F60AE"/>
    <w:rsid w:val="6B8C2AEF"/>
    <w:rsid w:val="6BC404DB"/>
    <w:rsid w:val="6C3A254B"/>
    <w:rsid w:val="6E8757F0"/>
    <w:rsid w:val="72804CD0"/>
    <w:rsid w:val="7EF44AE3"/>
    <w:rsid w:val="7FD8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1"/>
    <w:qFormat/>
    <w:uiPriority w:val="0"/>
    <w:pPr>
      <w:spacing w:after="0"/>
      <w:ind w:left="0" w:leftChars="0" w:firstLine="420" w:firstLineChars="200"/>
    </w:pPr>
    <w:rPr>
      <w:color w:val="000000"/>
      <w:sz w:val="22"/>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缩进 Char"/>
    <w:basedOn w:val="7"/>
    <w:link w:val="2"/>
    <w:semiHidden/>
    <w:qFormat/>
    <w:uiPriority w:val="99"/>
  </w:style>
  <w:style w:type="character" w:customStyle="1" w:styleId="11">
    <w:name w:val="正文首行缩进 2 Char"/>
    <w:basedOn w:val="10"/>
    <w:link w:val="5"/>
    <w:uiPriority w:val="0"/>
    <w:rPr>
      <w:color w:val="000000"/>
      <w:sz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1906</Words>
  <Characters>2099</Characters>
  <Lines>15</Lines>
  <Paragraphs>4</Paragraphs>
  <TotalTime>3</TotalTime>
  <ScaleCrop>false</ScaleCrop>
  <LinksUpToDate>false</LinksUpToDate>
  <CharactersWithSpaces>2104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2025-03-19T05:39:00Z</dcterms:created>
  <dc:creator>HWX</dc:creator>
  <cp:lastModifiedBy>XDD</cp:lastModifiedBy>
  <dcterms:modified xsi:type="dcterms:W3CDTF">2025-03-20T01:30:51Z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eyJoZGlkIjoiYWU5NTlkYjhmMWYxOGQ5MTkyNzMzOWVkZTRhZmRjZGYifQ==</vt:lpwstr>
  </property>
  <property fmtid="{D5CDD505-2E9C-101B-9397-08002B2CF9AE}" pid="3" name="KSOProductBuildVer">
    <vt:lpwstr>2052-12.1.0.19302</vt:lpwstr>
  </property>
  <property fmtid="{D5CDD505-2E9C-101B-9397-08002B2CF9AE}" pid="4" name="ICV">
    <vt:lpwstr>964D10ADA93F4292B928B211F3A2A558_13</vt:lpwstr>
  </property>
</Properties>
</file>